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893EF" w14:textId="77777777" w:rsidR="00E4379F" w:rsidRPr="008E45C3" w:rsidRDefault="00E4379F" w:rsidP="00E4379F">
      <w:pPr>
        <w:pStyle w:val="a4"/>
        <w:jc w:val="right"/>
        <w:rPr>
          <w:bCs/>
          <w:lang w:val="en-US"/>
        </w:rPr>
      </w:pPr>
      <w:r w:rsidRPr="008E45C3">
        <w:rPr>
          <w:bCs/>
          <w:lang w:val="en-US"/>
        </w:rPr>
        <w:t>Appendix 2</w:t>
      </w:r>
    </w:p>
    <w:p w14:paraId="68D021B2" w14:textId="77777777" w:rsidR="00E4379F" w:rsidRPr="008E45C3" w:rsidRDefault="00E4379F" w:rsidP="00E4379F">
      <w:pPr>
        <w:pStyle w:val="a4"/>
        <w:jc w:val="right"/>
        <w:rPr>
          <w:bCs/>
          <w:lang w:val="en-US"/>
        </w:rPr>
      </w:pPr>
      <w:r w:rsidRPr="008E45C3">
        <w:rPr>
          <w:bCs/>
          <w:lang w:val="en-US"/>
        </w:rPr>
        <w:t xml:space="preserve">to the Registration Certificate </w:t>
      </w:r>
      <w:r w:rsidRPr="00E4379F">
        <w:rPr>
          <w:bCs/>
        </w:rPr>
        <w:t>АВ</w:t>
      </w:r>
      <w:r w:rsidRPr="008E45C3">
        <w:rPr>
          <w:bCs/>
          <w:lang w:val="en-US"/>
        </w:rPr>
        <w:t>-09762-01-25</w:t>
      </w:r>
    </w:p>
    <w:p w14:paraId="13A99CD5" w14:textId="77777777" w:rsidR="00E4379F" w:rsidRPr="00E4379F" w:rsidRDefault="00E4379F" w:rsidP="00E4379F">
      <w:pPr>
        <w:pStyle w:val="a4"/>
        <w:ind w:firstLine="0"/>
        <w:jc w:val="right"/>
        <w:rPr>
          <w:bCs/>
        </w:rPr>
      </w:pPr>
      <w:r>
        <w:rPr>
          <w:bCs/>
        </w:rPr>
        <w:t>10.03.</w:t>
      </w:r>
      <w:r w:rsidRPr="00E4379F">
        <w:rPr>
          <w:bCs/>
        </w:rPr>
        <w:t>2025</w:t>
      </w:r>
    </w:p>
    <w:p w14:paraId="6CF251D2" w14:textId="77777777" w:rsidR="00DB13B3" w:rsidRDefault="004110C1">
      <w:pPr>
        <w:pStyle w:val="a4"/>
        <w:spacing w:before="240" w:line="233" w:lineRule="auto"/>
        <w:ind w:firstLine="0"/>
        <w:jc w:val="center"/>
      </w:pPr>
      <w:r>
        <w:rPr>
          <w:b/>
          <w:bCs/>
        </w:rPr>
        <w:t>DENAMULIN 45</w:t>
      </w:r>
    </w:p>
    <w:p w14:paraId="2739D934" w14:textId="77777777" w:rsidR="00DB13B3" w:rsidRPr="008E45C3" w:rsidRDefault="004110C1">
      <w:pPr>
        <w:pStyle w:val="a4"/>
        <w:spacing w:after="280" w:line="233" w:lineRule="auto"/>
        <w:ind w:firstLine="0"/>
        <w:jc w:val="center"/>
        <w:rPr>
          <w:lang w:val="en-US"/>
        </w:rPr>
      </w:pPr>
      <w:r w:rsidRPr="008E45C3">
        <w:rPr>
          <w:b/>
          <w:bCs/>
          <w:lang w:val="en-US"/>
        </w:rPr>
        <w:t xml:space="preserve">(water-soluble powder for oral administration) </w:t>
      </w:r>
      <w:r w:rsidRPr="008E45C3">
        <w:rPr>
          <w:b/>
          <w:bCs/>
          <w:lang w:val="en-US"/>
        </w:rPr>
        <w:br/>
      </w:r>
      <w:r w:rsidR="00A553E9" w:rsidRPr="008E45C3">
        <w:rPr>
          <w:lang w:val="en-US"/>
        </w:rPr>
        <w:t>Package insert</w:t>
      </w:r>
    </w:p>
    <w:p w14:paraId="714E79BA" w14:textId="77777777" w:rsidR="00DB13B3" w:rsidRPr="00202F04" w:rsidRDefault="00202F04">
      <w:pPr>
        <w:pStyle w:val="a4"/>
        <w:ind w:firstLine="560"/>
        <w:jc w:val="both"/>
        <w:rPr>
          <w:lang w:val="en-US"/>
        </w:rPr>
      </w:pPr>
      <w:r>
        <w:rPr>
          <w:b/>
          <w:bCs/>
          <w:lang w:val="en-US"/>
        </w:rPr>
        <w:t>Appearance</w:t>
      </w:r>
    </w:p>
    <w:p w14:paraId="6AA0CC9A" w14:textId="77777777" w:rsidR="00DB13B3" w:rsidRPr="008E45C3" w:rsidRDefault="004110C1">
      <w:pPr>
        <w:pStyle w:val="a4"/>
        <w:ind w:firstLine="560"/>
        <w:jc w:val="both"/>
        <w:rPr>
          <w:lang w:val="en-US"/>
        </w:rPr>
      </w:pPr>
      <w:r w:rsidRPr="008E45C3">
        <w:rPr>
          <w:lang w:val="en-US"/>
        </w:rPr>
        <w:t>White to light yellow crystalline powder.</w:t>
      </w:r>
    </w:p>
    <w:p w14:paraId="35D62FD9" w14:textId="77777777" w:rsidR="00DB13B3" w:rsidRPr="008E45C3" w:rsidRDefault="004110C1">
      <w:pPr>
        <w:pStyle w:val="a4"/>
        <w:ind w:firstLine="560"/>
        <w:jc w:val="both"/>
        <w:rPr>
          <w:lang w:val="en-US"/>
        </w:rPr>
      </w:pPr>
      <w:r w:rsidRPr="008E45C3">
        <w:rPr>
          <w:b/>
          <w:bCs/>
          <w:lang w:val="en-US"/>
        </w:rPr>
        <w:t>Composition</w:t>
      </w:r>
    </w:p>
    <w:p w14:paraId="74F673FE" w14:textId="77777777" w:rsidR="00DB13B3" w:rsidRPr="008E45C3" w:rsidRDefault="004110C1">
      <w:pPr>
        <w:pStyle w:val="a4"/>
        <w:ind w:firstLine="560"/>
        <w:jc w:val="both"/>
        <w:rPr>
          <w:lang w:val="en-US"/>
        </w:rPr>
      </w:pPr>
      <w:r w:rsidRPr="008E45C3">
        <w:rPr>
          <w:lang w:val="en-US"/>
        </w:rPr>
        <w:t>1 g of the drug contains the active ingredient:</w:t>
      </w:r>
    </w:p>
    <w:p w14:paraId="2DCCC126" w14:textId="77777777" w:rsidR="00DB13B3" w:rsidRPr="00E4379F" w:rsidRDefault="00202F04">
      <w:pPr>
        <w:pStyle w:val="a4"/>
        <w:ind w:firstLine="560"/>
        <w:jc w:val="both"/>
        <w:rPr>
          <w:lang w:val="fr-FR"/>
        </w:rPr>
      </w:pPr>
      <w:r>
        <w:rPr>
          <w:lang w:val="fr-FR"/>
        </w:rPr>
        <w:t xml:space="preserve">tiamulin hydrogen fumarate, </w:t>
      </w:r>
      <w:r w:rsidR="004110C1" w:rsidRPr="00E4379F">
        <w:rPr>
          <w:lang w:val="fr-FR"/>
        </w:rPr>
        <w:t>450 mg.</w:t>
      </w:r>
    </w:p>
    <w:p w14:paraId="231A9B9C" w14:textId="77777777" w:rsidR="00DB13B3" w:rsidRPr="00E4379F" w:rsidRDefault="004110C1">
      <w:pPr>
        <w:pStyle w:val="a4"/>
        <w:ind w:firstLine="560"/>
        <w:jc w:val="both"/>
        <w:rPr>
          <w:lang w:val="fr-FR"/>
        </w:rPr>
      </w:pPr>
      <w:r w:rsidRPr="00E4379F">
        <w:rPr>
          <w:lang w:val="fr-FR"/>
        </w:rPr>
        <w:t>Excipient: lactose monohydrate.</w:t>
      </w:r>
    </w:p>
    <w:p w14:paraId="4ED06A1E" w14:textId="77777777" w:rsidR="00DB13B3" w:rsidRPr="008E45C3" w:rsidRDefault="004110C1">
      <w:pPr>
        <w:pStyle w:val="a4"/>
        <w:ind w:firstLine="560"/>
        <w:jc w:val="both"/>
        <w:rPr>
          <w:lang w:val="en-US"/>
        </w:rPr>
      </w:pPr>
      <w:r w:rsidRPr="008E45C3">
        <w:rPr>
          <w:b/>
          <w:bCs/>
          <w:lang w:val="en-US"/>
        </w:rPr>
        <w:t>Pharmacological properties</w:t>
      </w:r>
    </w:p>
    <w:p w14:paraId="2C83CE73" w14:textId="77777777" w:rsidR="00202F04" w:rsidRPr="008E45C3" w:rsidRDefault="00202F04">
      <w:pPr>
        <w:pStyle w:val="a4"/>
        <w:ind w:firstLine="580"/>
        <w:jc w:val="both"/>
        <w:rPr>
          <w:b/>
          <w:bCs/>
          <w:i/>
          <w:iCs/>
          <w:lang w:val="en-US"/>
        </w:rPr>
      </w:pPr>
      <w:r w:rsidRPr="00202F04">
        <w:rPr>
          <w:b/>
          <w:i/>
          <w:lang w:val="en-US"/>
        </w:rPr>
        <w:t>ATC</w:t>
      </w:r>
      <w:r w:rsidRPr="00740683">
        <w:rPr>
          <w:lang w:val="en-US"/>
        </w:rPr>
        <w:t xml:space="preserve"> </w:t>
      </w:r>
      <w:r w:rsidR="004110C1" w:rsidRPr="008E45C3">
        <w:rPr>
          <w:b/>
          <w:bCs/>
          <w:i/>
          <w:iCs/>
          <w:lang w:val="en-US"/>
        </w:rPr>
        <w:t xml:space="preserve">vet classification code QJO1 - antibacterial veterinary drugs for systemic use. </w:t>
      </w:r>
    </w:p>
    <w:p w14:paraId="5793EB8A" w14:textId="77777777" w:rsidR="00DB13B3" w:rsidRPr="008E45C3" w:rsidRDefault="004110C1">
      <w:pPr>
        <w:pStyle w:val="a4"/>
        <w:ind w:firstLine="580"/>
        <w:jc w:val="both"/>
        <w:rPr>
          <w:lang w:val="en-US"/>
        </w:rPr>
      </w:pPr>
      <w:r w:rsidRPr="008E45C3">
        <w:rPr>
          <w:b/>
          <w:bCs/>
          <w:i/>
          <w:iCs/>
          <w:lang w:val="en-US"/>
        </w:rPr>
        <w:t>QJO1XQO1 - Tiamulin.</w:t>
      </w:r>
    </w:p>
    <w:p w14:paraId="60BFFE33" w14:textId="77777777" w:rsidR="00DB13B3" w:rsidRPr="008E45C3" w:rsidRDefault="004110C1">
      <w:pPr>
        <w:pStyle w:val="a4"/>
        <w:ind w:firstLine="580"/>
        <w:jc w:val="both"/>
        <w:rPr>
          <w:lang w:val="en-US"/>
        </w:rPr>
      </w:pPr>
      <w:r w:rsidRPr="008E45C3">
        <w:rPr>
          <w:lang w:val="en-US"/>
        </w:rPr>
        <w:t>Tiamulin is a semi-synthetic antibiotic belonging to the pleuromutilin group. The antibio</w:t>
      </w:r>
      <w:r w:rsidR="00202F04" w:rsidRPr="008E45C3">
        <w:rPr>
          <w:lang w:val="en-US"/>
        </w:rPr>
        <w:t>tic has a bacteriostatic effect</w:t>
      </w:r>
      <w:r w:rsidRPr="008E45C3">
        <w:rPr>
          <w:lang w:val="en-US"/>
        </w:rPr>
        <w:t xml:space="preserve"> inhibiting protein synthesis in </w:t>
      </w:r>
      <w:r w:rsidR="00202F04" w:rsidRPr="008E45C3">
        <w:rPr>
          <w:lang w:val="en-US"/>
        </w:rPr>
        <w:t>tiamulin-sensitive microorganisms</w:t>
      </w:r>
      <w:r w:rsidRPr="008E45C3">
        <w:rPr>
          <w:lang w:val="en-US"/>
        </w:rPr>
        <w:t xml:space="preserve">. The drug is active against gram-positive </w:t>
      </w:r>
      <w:r w:rsidRPr="008E45C3">
        <w:rPr>
          <w:i/>
          <w:iCs/>
          <w:lang w:val="en-US"/>
        </w:rPr>
        <w:t xml:space="preserve">(Clostridium perfringens, Streptococcus spp., Staphylococcus spp., Erysipelothrix rhusiopathiae, Listeria monocytogenes, Actinomyces pyogenes) </w:t>
      </w:r>
      <w:r w:rsidRPr="008E45C3">
        <w:rPr>
          <w:lang w:val="en-US"/>
        </w:rPr>
        <w:t xml:space="preserve">and gram-negative </w:t>
      </w:r>
      <w:r w:rsidRPr="008E45C3">
        <w:rPr>
          <w:i/>
          <w:iCs/>
          <w:lang w:val="en-US"/>
        </w:rPr>
        <w:t xml:space="preserve">(Brachyspira innocens, Brachyspira pilosicoli, Leptospira spp., Pasteurella multocida, Actinobacillus spp., Fusobacterium spp., Klebsiella pneumoniae, Haemophilus spp., Bacteroides spp., Campylobacter coli, Lawsonia intracellularisa) </w:t>
      </w:r>
      <w:r w:rsidRPr="008E45C3">
        <w:rPr>
          <w:lang w:val="en-US"/>
        </w:rPr>
        <w:t xml:space="preserve">microorganisms, as well as chlamydia, mycoplasmas </w:t>
      </w:r>
      <w:r w:rsidRPr="008E45C3">
        <w:rPr>
          <w:i/>
          <w:iCs/>
          <w:lang w:val="en-US"/>
        </w:rPr>
        <w:t xml:space="preserve">(Mycoplasma hyopneumoniae, M. hyosynoviae, M. hyorhinis, M. bovis </w:t>
      </w:r>
      <w:r w:rsidRPr="008E45C3">
        <w:rPr>
          <w:lang w:val="en-US"/>
        </w:rPr>
        <w:t xml:space="preserve">and others) and spirochetes </w:t>
      </w:r>
      <w:r w:rsidRPr="008E45C3">
        <w:rPr>
          <w:i/>
          <w:iCs/>
          <w:lang w:val="en-US"/>
        </w:rPr>
        <w:t>(Serpulina hyodysenteriae, S. innocens, S. pilosicoli, S. suis).</w:t>
      </w:r>
    </w:p>
    <w:p w14:paraId="4087C80A" w14:textId="77777777" w:rsidR="00DB13B3" w:rsidRPr="008E45C3" w:rsidRDefault="004110C1">
      <w:pPr>
        <w:pStyle w:val="a4"/>
        <w:ind w:firstLine="580"/>
        <w:jc w:val="both"/>
        <w:rPr>
          <w:lang w:val="en-US"/>
        </w:rPr>
      </w:pPr>
      <w:r w:rsidRPr="008E45C3">
        <w:rPr>
          <w:lang w:val="en-US"/>
        </w:rPr>
        <w:t>Tiamulin acts at the 70S ribosomal level, with the primary bindin</w:t>
      </w:r>
      <w:r w:rsidR="00202F04" w:rsidRPr="008E45C3">
        <w:rPr>
          <w:lang w:val="en-US"/>
        </w:rPr>
        <w:t xml:space="preserve">g site being at the 50S sublevel </w:t>
      </w:r>
      <w:r w:rsidRPr="008E45C3">
        <w:rPr>
          <w:lang w:val="en-US"/>
        </w:rPr>
        <w:t xml:space="preserve">and a secondary </w:t>
      </w:r>
      <w:r w:rsidR="00B73A8D" w:rsidRPr="008E45C3">
        <w:rPr>
          <w:lang w:val="en-US"/>
        </w:rPr>
        <w:t xml:space="preserve">binding </w:t>
      </w:r>
      <w:r w:rsidRPr="008E45C3">
        <w:rPr>
          <w:lang w:val="en-US"/>
        </w:rPr>
        <w:t>site being possible at the junction of the 50S and 30S subunits. It inhibits protein synthesis by microorganisms by forming biochemically inactive initiator complexes that prevent polypeptide chain growth.</w:t>
      </w:r>
    </w:p>
    <w:p w14:paraId="3411F57C" w14:textId="77777777" w:rsidR="00DB13B3" w:rsidRPr="008E45C3" w:rsidRDefault="004110C1">
      <w:pPr>
        <w:pStyle w:val="a4"/>
        <w:ind w:firstLine="580"/>
        <w:jc w:val="both"/>
        <w:rPr>
          <w:lang w:val="en-US"/>
        </w:rPr>
      </w:pPr>
      <w:r w:rsidRPr="008E45C3">
        <w:rPr>
          <w:lang w:val="en-US"/>
        </w:rPr>
        <w:t>Tiamulin is well absorbed in pigs after oral administration (more than 90%) and penetrates into</w:t>
      </w:r>
      <w:r w:rsidR="00B73A8D" w:rsidRPr="00B73A8D">
        <w:rPr>
          <w:lang w:val="en-US"/>
        </w:rPr>
        <w:t xml:space="preserve"> </w:t>
      </w:r>
      <w:r w:rsidR="00B73A8D">
        <w:rPr>
          <w:lang w:val="en-US"/>
        </w:rPr>
        <w:t>the</w:t>
      </w:r>
      <w:r w:rsidRPr="008E45C3">
        <w:rPr>
          <w:lang w:val="en-US"/>
        </w:rPr>
        <w:t xml:space="preserve"> most organs and tissues. After a single dose of </w:t>
      </w:r>
      <w:r w:rsidRPr="008E45C3">
        <w:rPr>
          <w:color w:val="3D3D3D"/>
          <w:lang w:val="en-US"/>
        </w:rPr>
        <w:t xml:space="preserve">10 </w:t>
      </w:r>
      <w:r w:rsidRPr="008E45C3">
        <w:rPr>
          <w:lang w:val="en-US"/>
        </w:rPr>
        <w:t xml:space="preserve">and 25 mg tiamulin per 1 kg of body weight, </w:t>
      </w:r>
      <w:r w:rsidR="00B73A8D" w:rsidRPr="008E45C3">
        <w:rPr>
          <w:lang w:val="en-US"/>
        </w:rPr>
        <w:t>the maximum concentration (C</w:t>
      </w:r>
      <w:r w:rsidR="00B73A8D" w:rsidRPr="008E45C3">
        <w:rPr>
          <w:vertAlign w:val="subscript"/>
          <w:lang w:val="en-US"/>
        </w:rPr>
        <w:t>max</w:t>
      </w:r>
      <w:r w:rsidR="00B73A8D" w:rsidRPr="008E45C3">
        <w:rPr>
          <w:lang w:val="en-US"/>
        </w:rPr>
        <w:t>)</w:t>
      </w:r>
      <w:r w:rsidRPr="008E45C3">
        <w:rPr>
          <w:vertAlign w:val="subscript"/>
          <w:lang w:val="en-US"/>
        </w:rPr>
        <w:t xml:space="preserve"> </w:t>
      </w:r>
      <w:r w:rsidRPr="008E45C3">
        <w:rPr>
          <w:lang w:val="en-US"/>
        </w:rPr>
        <w:t xml:space="preserve">was 1.03 mg/ml and 1.82 mg/ml, respectively, with </w:t>
      </w:r>
      <w:r w:rsidR="00B73A8D" w:rsidRPr="008E45C3">
        <w:rPr>
          <w:lang w:val="en-US"/>
        </w:rPr>
        <w:t>the maximum time (T</w:t>
      </w:r>
      <w:r w:rsidR="00B73A8D" w:rsidRPr="008E45C3">
        <w:rPr>
          <w:vertAlign w:val="subscript"/>
          <w:lang w:val="en-US"/>
        </w:rPr>
        <w:t>max</w:t>
      </w:r>
      <w:r w:rsidR="00B73A8D" w:rsidRPr="008E45C3">
        <w:rPr>
          <w:lang w:val="en-US"/>
        </w:rPr>
        <w:t>)</w:t>
      </w:r>
      <w:r w:rsidRPr="008E45C3">
        <w:rPr>
          <w:vertAlign w:val="subscript"/>
          <w:lang w:val="en-US"/>
        </w:rPr>
        <w:t xml:space="preserve"> </w:t>
      </w:r>
      <w:r w:rsidRPr="008E45C3">
        <w:rPr>
          <w:lang w:val="en-US"/>
        </w:rPr>
        <w:t>of 2 hours. Tiamulin is metabolized and excreted in bile (70-85%) and urine (15-30%). Tiamulin, which is not absorbed and not metabolized, passes through the intestines and settles in the colon.</w:t>
      </w:r>
    </w:p>
    <w:p w14:paraId="30036553" w14:textId="77777777" w:rsidR="00DB13B3" w:rsidRPr="008E45C3" w:rsidRDefault="00B73A8D">
      <w:pPr>
        <w:pStyle w:val="a4"/>
        <w:ind w:firstLine="580"/>
        <w:jc w:val="both"/>
        <w:rPr>
          <w:lang w:val="en-US"/>
        </w:rPr>
      </w:pPr>
      <w:r w:rsidRPr="008E45C3">
        <w:rPr>
          <w:lang w:val="en-US"/>
        </w:rPr>
        <w:t xml:space="preserve">After oral administration, ca. 70-95% of tiamulin </w:t>
      </w:r>
      <w:r w:rsidR="004110C1" w:rsidRPr="008E45C3">
        <w:rPr>
          <w:lang w:val="en-US"/>
        </w:rPr>
        <w:t xml:space="preserve">is absorbed in the body of chickens and </w:t>
      </w:r>
      <w:r w:rsidR="004976C3" w:rsidRPr="008E45C3">
        <w:rPr>
          <w:lang w:val="en-US"/>
        </w:rPr>
        <w:t xml:space="preserve">it </w:t>
      </w:r>
      <w:r w:rsidR="004110C1" w:rsidRPr="008E45C3">
        <w:rPr>
          <w:lang w:val="en-US"/>
        </w:rPr>
        <w:t>reaches the highest concentration after 2-4 hours (T</w:t>
      </w:r>
      <w:r w:rsidR="004110C1" w:rsidRPr="008E45C3">
        <w:rPr>
          <w:vertAlign w:val="subscript"/>
          <w:lang w:val="en-US"/>
        </w:rPr>
        <w:t>max</w:t>
      </w:r>
      <w:r w:rsidR="004110C1" w:rsidRPr="008E45C3">
        <w:rPr>
          <w:lang w:val="en-US"/>
        </w:rPr>
        <w:t xml:space="preserve"> 2.85</w:t>
      </w:r>
      <w:r w:rsidR="004110C1" w:rsidRPr="008E45C3">
        <w:rPr>
          <w:vertAlign w:val="subscript"/>
          <w:lang w:val="en-US"/>
        </w:rPr>
        <w:t xml:space="preserve"> </w:t>
      </w:r>
      <w:r w:rsidR="004110C1" w:rsidRPr="008E45C3">
        <w:rPr>
          <w:lang w:val="en-US"/>
        </w:rPr>
        <w:t xml:space="preserve">hours). After a single dose of 50 mg/kg </w:t>
      </w:r>
      <w:r w:rsidR="004976C3" w:rsidRPr="008E45C3">
        <w:rPr>
          <w:lang w:val="en-US"/>
        </w:rPr>
        <w:t xml:space="preserve">of </w:t>
      </w:r>
      <w:r w:rsidR="004110C1" w:rsidRPr="008E45C3">
        <w:rPr>
          <w:lang w:val="en-US"/>
        </w:rPr>
        <w:t>body weight, C</w:t>
      </w:r>
      <w:r w:rsidR="004110C1" w:rsidRPr="008E45C3">
        <w:rPr>
          <w:vertAlign w:val="subscript"/>
          <w:lang w:val="en-US"/>
        </w:rPr>
        <w:t>max</w:t>
      </w:r>
      <w:r w:rsidR="004110C1" w:rsidRPr="008E45C3">
        <w:rPr>
          <w:lang w:val="en-US"/>
        </w:rPr>
        <w:t xml:space="preserve"> is</w:t>
      </w:r>
      <w:r w:rsidR="004110C1" w:rsidRPr="008E45C3">
        <w:rPr>
          <w:vertAlign w:val="subscript"/>
          <w:lang w:val="en-US"/>
        </w:rPr>
        <w:t xml:space="preserve"> </w:t>
      </w:r>
      <w:r w:rsidR="004110C1" w:rsidRPr="008E45C3">
        <w:rPr>
          <w:lang w:val="en-US"/>
        </w:rPr>
        <w:t>4.02 mg/ml in blood serum, and after a dose of 25 mg/kg - 1.86 mg/ml. Protein binding is on average approximately 50% (45-52%). Tiamulin penetrates well into</w:t>
      </w:r>
      <w:r w:rsidR="004976C3" w:rsidRPr="008E45C3">
        <w:rPr>
          <w:lang w:val="en-US"/>
        </w:rPr>
        <w:t xml:space="preserve"> the</w:t>
      </w:r>
      <w:r w:rsidR="004110C1" w:rsidRPr="008E45C3">
        <w:rPr>
          <w:lang w:val="en-US"/>
        </w:rPr>
        <w:t xml:space="preserve"> most organs and tissues of the body, accumulates in the liver and kidneys (through which it is excreted), as well as in the lungs, where its level is 30 times higher than in serum and eggs. It is excreted mainly with bile (55-65%) and urine (15-30%) in the form of microbiologically inactive metabolites. The process is quite fast: 99% of the dose is excreted within 48 hours.</w:t>
      </w:r>
    </w:p>
    <w:p w14:paraId="0D52DB60" w14:textId="77777777" w:rsidR="00DB13B3" w:rsidRPr="008E45C3" w:rsidRDefault="004110C1">
      <w:pPr>
        <w:pStyle w:val="a4"/>
        <w:ind w:firstLine="580"/>
        <w:jc w:val="both"/>
        <w:rPr>
          <w:lang w:val="en-US"/>
        </w:rPr>
      </w:pPr>
      <w:r w:rsidRPr="008E45C3">
        <w:rPr>
          <w:lang w:val="en-US"/>
        </w:rPr>
        <w:t>After oral administration to turkeys, the maximum concentration (C</w:t>
      </w:r>
      <w:r w:rsidRPr="008E45C3">
        <w:rPr>
          <w:vertAlign w:val="subscript"/>
          <w:lang w:val="en-US"/>
        </w:rPr>
        <w:t>max</w:t>
      </w:r>
      <w:r w:rsidRPr="008E45C3">
        <w:rPr>
          <w:lang w:val="en-US"/>
        </w:rPr>
        <w:t>)</w:t>
      </w:r>
      <w:r w:rsidRPr="008E45C3">
        <w:rPr>
          <w:vertAlign w:val="subscript"/>
          <w:lang w:val="en-US"/>
        </w:rPr>
        <w:t xml:space="preserve"> </w:t>
      </w:r>
      <w:r w:rsidRPr="008E45C3">
        <w:rPr>
          <w:lang w:val="en-US"/>
        </w:rPr>
        <w:t xml:space="preserve">of tiamulin in the blood serum is 3.02 mg/ml at a dose of 50 mg/kg </w:t>
      </w:r>
      <w:r w:rsidR="005C4D92" w:rsidRPr="008E45C3">
        <w:rPr>
          <w:lang w:val="en-US"/>
        </w:rPr>
        <w:t xml:space="preserve">of </w:t>
      </w:r>
      <w:r w:rsidRPr="008E45C3">
        <w:rPr>
          <w:lang w:val="en-US"/>
        </w:rPr>
        <w:t xml:space="preserve">body weight and 1.46 mg/ml at a dose of 25 mg/kg </w:t>
      </w:r>
      <w:r w:rsidR="005C4D92" w:rsidRPr="008E45C3">
        <w:rPr>
          <w:lang w:val="en-US"/>
        </w:rPr>
        <w:t xml:space="preserve">of </w:t>
      </w:r>
      <w:r w:rsidRPr="008E45C3">
        <w:rPr>
          <w:lang w:val="en-US"/>
        </w:rPr>
        <w:t>body weight, and is reached after 2-1 hours.</w:t>
      </w:r>
    </w:p>
    <w:p w14:paraId="3EB6AA85" w14:textId="77777777" w:rsidR="00DB13B3" w:rsidRPr="008E45C3" w:rsidRDefault="004110C1">
      <w:pPr>
        <w:pStyle w:val="a4"/>
        <w:ind w:firstLine="580"/>
        <w:jc w:val="both"/>
        <w:rPr>
          <w:lang w:val="en-US"/>
        </w:rPr>
      </w:pPr>
      <w:r w:rsidRPr="008E45C3">
        <w:rPr>
          <w:lang w:val="en-US"/>
        </w:rPr>
        <w:t>The concentration of tiamulin at the therapeutic level is maintained for 18-24 hours after administration of the drug.</w:t>
      </w:r>
    </w:p>
    <w:p w14:paraId="00B89673" w14:textId="77777777" w:rsidR="00DB13B3" w:rsidRPr="008E45C3" w:rsidRDefault="008F2D11">
      <w:pPr>
        <w:pStyle w:val="a4"/>
        <w:ind w:firstLine="560"/>
        <w:jc w:val="both"/>
        <w:rPr>
          <w:lang w:val="en-US"/>
        </w:rPr>
      </w:pPr>
      <w:r w:rsidRPr="008E45C3">
        <w:rPr>
          <w:b/>
          <w:bCs/>
          <w:lang w:val="en-US"/>
        </w:rPr>
        <w:t>Indications</w:t>
      </w:r>
    </w:p>
    <w:p w14:paraId="44705CFE" w14:textId="77777777" w:rsidR="00DB13B3" w:rsidRPr="008E45C3" w:rsidRDefault="004110C1">
      <w:pPr>
        <w:pStyle w:val="a4"/>
        <w:ind w:firstLine="560"/>
        <w:jc w:val="both"/>
        <w:rPr>
          <w:lang w:val="en-US"/>
        </w:rPr>
      </w:pPr>
      <w:r w:rsidRPr="008E45C3">
        <w:rPr>
          <w:u w:val="single"/>
          <w:lang w:val="en-US"/>
        </w:rPr>
        <w:t>Pigs:</w:t>
      </w:r>
    </w:p>
    <w:p w14:paraId="25AC645A" w14:textId="77777777" w:rsidR="00DB13B3" w:rsidRPr="008E45C3" w:rsidRDefault="004110C1">
      <w:pPr>
        <w:pStyle w:val="a4"/>
        <w:ind w:firstLine="580"/>
        <w:jc w:val="both"/>
        <w:rPr>
          <w:lang w:val="en-US"/>
        </w:rPr>
      </w:pPr>
      <w:r w:rsidRPr="008E45C3">
        <w:rPr>
          <w:lang w:val="en-US"/>
        </w:rPr>
        <w:t xml:space="preserve">- treatment of animals suffering from dysentery caused by </w:t>
      </w:r>
      <w:r w:rsidR="008F2D11" w:rsidRPr="008E45C3">
        <w:rPr>
          <w:lang w:val="en-US"/>
        </w:rPr>
        <w:t>tiamulin-sensitive</w:t>
      </w:r>
      <w:r w:rsidR="008F2D11" w:rsidRPr="008E45C3">
        <w:rPr>
          <w:i/>
          <w:iCs/>
          <w:lang w:val="en-US"/>
        </w:rPr>
        <w:t xml:space="preserve"> Brachyspira hyodysenteriae</w:t>
      </w:r>
      <w:r w:rsidRPr="008E45C3">
        <w:rPr>
          <w:lang w:val="en-US"/>
        </w:rPr>
        <w:t>.</w:t>
      </w:r>
      <w:r w:rsidRPr="008E45C3">
        <w:rPr>
          <w:lang w:val="en-US"/>
        </w:rPr>
        <w:br w:type="page"/>
      </w:r>
    </w:p>
    <w:p w14:paraId="61929B19" w14:textId="77777777" w:rsidR="00D0127A" w:rsidRPr="008E45C3" w:rsidRDefault="00D0127A" w:rsidP="00D0127A">
      <w:pPr>
        <w:pStyle w:val="a4"/>
        <w:jc w:val="right"/>
        <w:rPr>
          <w:bCs/>
          <w:lang w:val="en-US"/>
        </w:rPr>
      </w:pPr>
      <w:r w:rsidRPr="008E45C3">
        <w:rPr>
          <w:bCs/>
          <w:lang w:val="en-US"/>
        </w:rPr>
        <w:t>Appendix 2</w:t>
      </w:r>
    </w:p>
    <w:p w14:paraId="5054F615" w14:textId="77777777" w:rsidR="00D0127A" w:rsidRPr="008E45C3" w:rsidRDefault="00D0127A" w:rsidP="00D0127A">
      <w:pPr>
        <w:pStyle w:val="a4"/>
        <w:jc w:val="right"/>
        <w:rPr>
          <w:bCs/>
          <w:lang w:val="en-US"/>
        </w:rPr>
      </w:pPr>
      <w:r w:rsidRPr="008E45C3">
        <w:rPr>
          <w:bCs/>
          <w:lang w:val="en-US"/>
        </w:rPr>
        <w:t xml:space="preserve">to the Registration Certificate </w:t>
      </w:r>
      <w:r w:rsidRPr="00E4379F">
        <w:rPr>
          <w:bCs/>
        </w:rPr>
        <w:t>АВ</w:t>
      </w:r>
      <w:r w:rsidRPr="008E45C3">
        <w:rPr>
          <w:bCs/>
          <w:lang w:val="en-US"/>
        </w:rPr>
        <w:t>-09762-01-25</w:t>
      </w:r>
    </w:p>
    <w:p w14:paraId="667161F6" w14:textId="77777777" w:rsidR="00D0127A" w:rsidRPr="00E4379F" w:rsidRDefault="00D0127A" w:rsidP="00D0127A">
      <w:pPr>
        <w:pStyle w:val="a4"/>
        <w:ind w:firstLine="0"/>
        <w:jc w:val="right"/>
        <w:rPr>
          <w:bCs/>
        </w:rPr>
      </w:pPr>
      <w:r>
        <w:rPr>
          <w:bCs/>
        </w:rPr>
        <w:t>10.03.</w:t>
      </w:r>
      <w:r w:rsidRPr="00E4379F">
        <w:rPr>
          <w:bCs/>
        </w:rPr>
        <w:t>2025</w:t>
      </w:r>
    </w:p>
    <w:p w14:paraId="26C80E82" w14:textId="77777777" w:rsidR="00DB13B3" w:rsidRDefault="00DB13B3" w:rsidP="008F2D11">
      <w:pPr>
        <w:pStyle w:val="Heading10"/>
        <w:keepNext/>
        <w:keepLines/>
        <w:jc w:val="center"/>
      </w:pPr>
    </w:p>
    <w:p w14:paraId="63E15988" w14:textId="77777777" w:rsidR="00DB13B3" w:rsidRPr="008E45C3" w:rsidRDefault="004110C1">
      <w:pPr>
        <w:pStyle w:val="a4"/>
        <w:numPr>
          <w:ilvl w:val="0"/>
          <w:numId w:val="1"/>
        </w:numPr>
        <w:tabs>
          <w:tab w:val="left" w:pos="817"/>
        </w:tabs>
        <w:spacing w:line="257" w:lineRule="auto"/>
        <w:ind w:firstLine="580"/>
        <w:jc w:val="both"/>
        <w:rPr>
          <w:lang w:val="en-US"/>
        </w:rPr>
      </w:pPr>
      <w:bookmarkStart w:id="0" w:name="bookmark3"/>
      <w:bookmarkEnd w:id="0"/>
      <w:r w:rsidRPr="008E45C3">
        <w:rPr>
          <w:lang w:val="en-US"/>
        </w:rPr>
        <w:t xml:space="preserve">treatment of animals suffering from spirochetosis (colitis) caused by </w:t>
      </w:r>
      <w:r w:rsidR="00D0127A" w:rsidRPr="008E45C3">
        <w:rPr>
          <w:lang w:val="en-US"/>
        </w:rPr>
        <w:t>tiamulin-sensitive</w:t>
      </w:r>
      <w:r w:rsidR="00D0127A" w:rsidRPr="008E45C3">
        <w:rPr>
          <w:i/>
          <w:iCs/>
          <w:lang w:val="en-US"/>
        </w:rPr>
        <w:t xml:space="preserve"> Brachyspira pilosicoli</w:t>
      </w:r>
      <w:r w:rsidRPr="008E45C3">
        <w:rPr>
          <w:lang w:val="en-US"/>
        </w:rPr>
        <w:t>.</w:t>
      </w:r>
    </w:p>
    <w:p w14:paraId="57349B1C" w14:textId="77777777" w:rsidR="00DB13B3" w:rsidRPr="008E45C3" w:rsidRDefault="004110C1">
      <w:pPr>
        <w:pStyle w:val="a4"/>
        <w:numPr>
          <w:ilvl w:val="0"/>
          <w:numId w:val="1"/>
        </w:numPr>
        <w:tabs>
          <w:tab w:val="left" w:pos="807"/>
        </w:tabs>
        <w:spacing w:line="257" w:lineRule="auto"/>
        <w:ind w:firstLine="580"/>
        <w:jc w:val="both"/>
        <w:rPr>
          <w:lang w:val="en-US"/>
        </w:rPr>
      </w:pPr>
      <w:bookmarkStart w:id="1" w:name="bookmark4"/>
      <w:bookmarkEnd w:id="1"/>
      <w:r w:rsidRPr="008E45C3">
        <w:rPr>
          <w:lang w:val="en-US"/>
        </w:rPr>
        <w:t>treatment of animals suffering from proliferative enteropathy (ileitis) caused by</w:t>
      </w:r>
      <w:r w:rsidR="00D0127A" w:rsidRPr="008E45C3">
        <w:rPr>
          <w:lang w:val="en-US"/>
        </w:rPr>
        <w:t xml:space="preserve"> tiamulin-sensitive</w:t>
      </w:r>
      <w:r w:rsidRPr="008E45C3">
        <w:rPr>
          <w:lang w:val="en-US"/>
        </w:rPr>
        <w:t xml:space="preserve"> </w:t>
      </w:r>
      <w:r w:rsidR="00D0127A" w:rsidRPr="008E45C3">
        <w:rPr>
          <w:i/>
          <w:iCs/>
          <w:lang w:val="en-US"/>
        </w:rPr>
        <w:t>Lawsonia intracellularis</w:t>
      </w:r>
      <w:r w:rsidRPr="008E45C3">
        <w:rPr>
          <w:lang w:val="en-US"/>
        </w:rPr>
        <w:t>.</w:t>
      </w:r>
    </w:p>
    <w:p w14:paraId="182F5FCF" w14:textId="77777777" w:rsidR="00DB13B3" w:rsidRPr="008E45C3" w:rsidRDefault="004110C1">
      <w:pPr>
        <w:pStyle w:val="a4"/>
        <w:numPr>
          <w:ilvl w:val="0"/>
          <w:numId w:val="1"/>
        </w:numPr>
        <w:tabs>
          <w:tab w:val="left" w:pos="831"/>
        </w:tabs>
        <w:spacing w:line="257" w:lineRule="auto"/>
        <w:ind w:firstLine="580"/>
        <w:jc w:val="both"/>
        <w:rPr>
          <w:lang w:val="en-US"/>
        </w:rPr>
      </w:pPr>
      <w:bookmarkStart w:id="2" w:name="bookmark5"/>
      <w:bookmarkEnd w:id="2"/>
      <w:r w:rsidRPr="008E45C3">
        <w:rPr>
          <w:lang w:val="en-US"/>
        </w:rPr>
        <w:t xml:space="preserve">metaphylaxis and treatment of animals suffering from enzootic pneumonia caused by </w:t>
      </w:r>
      <w:r w:rsidRPr="008E45C3">
        <w:rPr>
          <w:i/>
          <w:iCs/>
          <w:lang w:val="en-US"/>
        </w:rPr>
        <w:t xml:space="preserve">Mycoplasma hyopneumoniae, </w:t>
      </w:r>
      <w:r w:rsidRPr="008E45C3">
        <w:rPr>
          <w:lang w:val="en-US"/>
        </w:rPr>
        <w:t xml:space="preserve">including mycoplasmosis complicated by </w:t>
      </w:r>
      <w:r w:rsidRPr="008E45C3">
        <w:rPr>
          <w:i/>
          <w:iCs/>
          <w:lang w:val="en-US"/>
        </w:rPr>
        <w:t xml:space="preserve">Pasteurella multocida, </w:t>
      </w:r>
      <w:r w:rsidRPr="008E45C3">
        <w:rPr>
          <w:lang w:val="en-US"/>
        </w:rPr>
        <w:t xml:space="preserve">caused by </w:t>
      </w:r>
      <w:r w:rsidR="00D0127A" w:rsidRPr="008E45C3">
        <w:rPr>
          <w:lang w:val="en-US"/>
        </w:rPr>
        <w:t>tiamulin-sensitive</w:t>
      </w:r>
      <w:r w:rsidR="00D0127A" w:rsidRPr="008E45C3">
        <w:rPr>
          <w:i/>
          <w:iCs/>
          <w:lang w:val="en-US"/>
        </w:rPr>
        <w:t xml:space="preserve"> </w:t>
      </w:r>
      <w:r w:rsidR="00D0127A" w:rsidRPr="008E45C3">
        <w:rPr>
          <w:lang w:val="en-US"/>
        </w:rPr>
        <w:t>microorganisms</w:t>
      </w:r>
      <w:r w:rsidRPr="008E45C3">
        <w:rPr>
          <w:lang w:val="en-US"/>
        </w:rPr>
        <w:t>. When using the drug for metaphylaxis, it is necessary to establish the presence of the disease in the group of animals before its use.</w:t>
      </w:r>
    </w:p>
    <w:p w14:paraId="6C7B4B7C" w14:textId="77777777" w:rsidR="00DB13B3" w:rsidRPr="008E45C3" w:rsidRDefault="004110C1">
      <w:pPr>
        <w:pStyle w:val="a4"/>
        <w:numPr>
          <w:ilvl w:val="0"/>
          <w:numId w:val="1"/>
        </w:numPr>
        <w:tabs>
          <w:tab w:val="left" w:pos="822"/>
        </w:tabs>
        <w:spacing w:line="257" w:lineRule="auto"/>
        <w:ind w:firstLine="580"/>
        <w:jc w:val="both"/>
        <w:rPr>
          <w:lang w:val="en-US"/>
        </w:rPr>
      </w:pPr>
      <w:bookmarkStart w:id="3" w:name="bookmark6"/>
      <w:bookmarkEnd w:id="3"/>
      <w:r w:rsidRPr="008E45C3">
        <w:rPr>
          <w:lang w:val="en-US"/>
        </w:rPr>
        <w:t>treatment of animals suffering from pleuropneumonia caused by</w:t>
      </w:r>
      <w:r w:rsidR="00D0127A" w:rsidRPr="008E45C3">
        <w:rPr>
          <w:lang w:val="en-US"/>
        </w:rPr>
        <w:t xml:space="preserve"> tiamulin-sensitive</w:t>
      </w:r>
      <w:r w:rsidRPr="008E45C3">
        <w:rPr>
          <w:lang w:val="en-US"/>
        </w:rPr>
        <w:t xml:space="preserve"> </w:t>
      </w:r>
      <w:r w:rsidRPr="008E45C3">
        <w:rPr>
          <w:i/>
          <w:iCs/>
          <w:lang w:val="en-US"/>
        </w:rPr>
        <w:t>A</w:t>
      </w:r>
      <w:r w:rsidR="00D0127A" w:rsidRPr="008E45C3">
        <w:rPr>
          <w:i/>
          <w:iCs/>
          <w:lang w:val="en-US"/>
        </w:rPr>
        <w:t>ctinobacillus pleuropneumoniae</w:t>
      </w:r>
      <w:r w:rsidRPr="008E45C3">
        <w:rPr>
          <w:lang w:val="en-US"/>
        </w:rPr>
        <w:t>.</w:t>
      </w:r>
    </w:p>
    <w:p w14:paraId="510BB23B" w14:textId="77777777" w:rsidR="00DB13B3" w:rsidRPr="008E45C3" w:rsidRDefault="004110C1">
      <w:pPr>
        <w:pStyle w:val="a4"/>
        <w:spacing w:line="257" w:lineRule="auto"/>
        <w:ind w:firstLine="580"/>
        <w:jc w:val="both"/>
        <w:rPr>
          <w:lang w:val="en-US"/>
        </w:rPr>
      </w:pPr>
      <w:r w:rsidRPr="008E45C3">
        <w:rPr>
          <w:u w:val="single"/>
          <w:lang w:val="en-US"/>
        </w:rPr>
        <w:t xml:space="preserve">Broiler chickens, young </w:t>
      </w:r>
      <w:r w:rsidR="0089247F">
        <w:rPr>
          <w:u w:val="single"/>
          <w:lang w:val="en-US"/>
        </w:rPr>
        <w:t>growth</w:t>
      </w:r>
      <w:r w:rsidR="0089247F" w:rsidRPr="008E45C3">
        <w:rPr>
          <w:u w:val="single"/>
          <w:lang w:val="en-US"/>
        </w:rPr>
        <w:t>, layers</w:t>
      </w:r>
      <w:r w:rsidRPr="008E45C3">
        <w:rPr>
          <w:u w:val="single"/>
          <w:lang w:val="en-US"/>
        </w:rPr>
        <w:t>:</w:t>
      </w:r>
      <w:r w:rsidRPr="008E45C3">
        <w:rPr>
          <w:lang w:val="en-US"/>
        </w:rPr>
        <w:t xml:space="preserve"> metaphylaxis and treatment of poultry suffering from respiratory mycoplasmosis caused by </w:t>
      </w:r>
      <w:r w:rsidRPr="008E45C3">
        <w:rPr>
          <w:i/>
          <w:iCs/>
          <w:lang w:val="en-US"/>
        </w:rPr>
        <w:t xml:space="preserve">Mycoplasma gallisepticum, </w:t>
      </w:r>
      <w:r w:rsidRPr="008E45C3">
        <w:rPr>
          <w:lang w:val="en-US"/>
        </w:rPr>
        <w:t xml:space="preserve">air sacculitis and infectious synovitis caused by </w:t>
      </w:r>
      <w:r w:rsidR="0089247F" w:rsidRPr="008E45C3">
        <w:rPr>
          <w:lang w:val="en-US"/>
        </w:rPr>
        <w:t xml:space="preserve">tiamulin-sensitive </w:t>
      </w:r>
      <w:r w:rsidR="0089247F" w:rsidRPr="008E45C3">
        <w:rPr>
          <w:i/>
          <w:iCs/>
          <w:lang w:val="en-US"/>
        </w:rPr>
        <w:t>Mycoplasma synoviae</w:t>
      </w:r>
      <w:r w:rsidRPr="008E45C3">
        <w:rPr>
          <w:lang w:val="en-US"/>
        </w:rPr>
        <w:t>. When using the drug for metaphylaxis, it is necessary to establish the presence of the disease in the poultry group before its use.</w:t>
      </w:r>
    </w:p>
    <w:p w14:paraId="48C167B6" w14:textId="77777777" w:rsidR="00DB13B3" w:rsidRPr="008E45C3" w:rsidRDefault="0089247F">
      <w:pPr>
        <w:pStyle w:val="a4"/>
        <w:spacing w:line="257" w:lineRule="auto"/>
        <w:ind w:firstLine="580"/>
        <w:jc w:val="both"/>
        <w:rPr>
          <w:lang w:val="en-US"/>
        </w:rPr>
      </w:pPr>
      <w:r w:rsidRPr="008E45C3">
        <w:rPr>
          <w:u w:val="single"/>
          <w:lang w:val="en-US"/>
        </w:rPr>
        <w:t>Turkeys</w:t>
      </w:r>
      <w:r w:rsidR="004110C1" w:rsidRPr="008E45C3">
        <w:rPr>
          <w:lang w:val="en-US"/>
        </w:rPr>
        <w:t>: metaphylaxis and treatment of poultry suffering from infectious sinusitis and air sacculitis caused by</w:t>
      </w:r>
      <w:r w:rsidRPr="008E45C3">
        <w:rPr>
          <w:lang w:val="en-US"/>
        </w:rPr>
        <w:t xml:space="preserve"> tiamulin-sensitive</w:t>
      </w:r>
      <w:r w:rsidR="004110C1" w:rsidRPr="008E45C3">
        <w:rPr>
          <w:lang w:val="en-US"/>
        </w:rPr>
        <w:t xml:space="preserve"> </w:t>
      </w:r>
      <w:r w:rsidR="004110C1" w:rsidRPr="008E45C3">
        <w:rPr>
          <w:i/>
          <w:iCs/>
          <w:lang w:val="en-US"/>
        </w:rPr>
        <w:t>Mycoplasma gallisepticum, Mycoplasma synoviae, Myco</w:t>
      </w:r>
      <w:r w:rsidRPr="008E45C3">
        <w:rPr>
          <w:i/>
          <w:iCs/>
          <w:lang w:val="en-US"/>
        </w:rPr>
        <w:t>plasma meleagridis</w:t>
      </w:r>
      <w:r w:rsidR="004110C1" w:rsidRPr="008E45C3">
        <w:rPr>
          <w:lang w:val="en-US"/>
        </w:rPr>
        <w:t>. When using the drug for metaphylaxis, it is necessary to establish the presence of the disease in the poultry group before its use.</w:t>
      </w:r>
    </w:p>
    <w:p w14:paraId="3EB488A2" w14:textId="77777777" w:rsidR="00DB13B3" w:rsidRPr="008E45C3" w:rsidRDefault="004110C1">
      <w:pPr>
        <w:pStyle w:val="a4"/>
        <w:spacing w:line="257" w:lineRule="auto"/>
        <w:ind w:firstLine="580"/>
        <w:jc w:val="both"/>
        <w:rPr>
          <w:lang w:val="en-US"/>
        </w:rPr>
      </w:pPr>
      <w:r w:rsidRPr="008E45C3">
        <w:rPr>
          <w:b/>
          <w:bCs/>
          <w:lang w:val="en-US"/>
        </w:rPr>
        <w:t>Dosage</w:t>
      </w:r>
    </w:p>
    <w:p w14:paraId="2EEA8EB0" w14:textId="77777777" w:rsidR="00DB13B3" w:rsidRPr="008E45C3" w:rsidRDefault="004110C1">
      <w:pPr>
        <w:pStyle w:val="a4"/>
        <w:spacing w:after="380" w:line="257" w:lineRule="auto"/>
        <w:ind w:firstLine="560"/>
        <w:jc w:val="both"/>
        <w:rPr>
          <w:lang w:val="en-US"/>
        </w:rPr>
      </w:pPr>
      <w:r w:rsidRPr="008E45C3">
        <w:rPr>
          <w:lang w:val="en-US"/>
        </w:rPr>
        <w:t>The daily dose of the drug is calculated using the formula:</w:t>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72"/>
        <w:gridCol w:w="3472"/>
        <w:gridCol w:w="3473"/>
      </w:tblGrid>
      <w:tr w:rsidR="00C14FAB" w14:paraId="2CDCE637" w14:textId="77777777" w:rsidTr="00C14FAB">
        <w:tc>
          <w:tcPr>
            <w:tcW w:w="3472" w:type="dxa"/>
          </w:tcPr>
          <w:p w14:paraId="7770B5A0" w14:textId="77777777" w:rsidR="00C14FAB" w:rsidRPr="008E45C3" w:rsidRDefault="00C14FAB" w:rsidP="00C14FAB">
            <w:pPr>
              <w:pStyle w:val="a4"/>
              <w:ind w:firstLine="0"/>
              <w:jc w:val="both"/>
              <w:rPr>
                <w:lang w:val="en-US"/>
              </w:rPr>
            </w:pPr>
            <w:r w:rsidRPr="008E45C3">
              <w:rPr>
                <w:lang w:val="en-US"/>
              </w:rPr>
              <w:t>Drug dose (mg)/kg of body weight/day</w:t>
            </w:r>
          </w:p>
          <w:p w14:paraId="39F4A41A" w14:textId="77777777" w:rsidR="00C14FAB" w:rsidRDefault="00C14FAB" w:rsidP="00C14FAB">
            <w:pPr>
              <w:pStyle w:val="a4"/>
              <w:ind w:firstLine="0"/>
              <w:jc w:val="right"/>
            </w:pPr>
            <w:r w:rsidRPr="008E45C3">
              <w:rPr>
                <w:lang w:val="en-US"/>
              </w:rPr>
              <w:t xml:space="preserve"> </w:t>
            </w:r>
            <w:r>
              <w:t>x</w:t>
            </w:r>
          </w:p>
        </w:tc>
        <w:tc>
          <w:tcPr>
            <w:tcW w:w="3472" w:type="dxa"/>
          </w:tcPr>
          <w:p w14:paraId="79483F5A" w14:textId="77777777" w:rsidR="00C14FAB" w:rsidRPr="008E45C3" w:rsidRDefault="00C14FAB" w:rsidP="00C14FAB">
            <w:pPr>
              <w:pStyle w:val="a4"/>
              <w:ind w:firstLine="0"/>
              <w:jc w:val="both"/>
              <w:rPr>
                <w:lang w:val="en-US"/>
              </w:rPr>
            </w:pPr>
            <w:r w:rsidRPr="008E45C3">
              <w:rPr>
                <w:lang w:val="en-US"/>
              </w:rPr>
              <w:t xml:space="preserve">Average body weight (kg) </w:t>
            </w:r>
          </w:p>
          <w:p w14:paraId="63B34B97" w14:textId="77777777" w:rsidR="00C14FAB" w:rsidRPr="008E45C3" w:rsidRDefault="00C14FAB" w:rsidP="00C14FAB">
            <w:pPr>
              <w:pStyle w:val="a4"/>
              <w:ind w:firstLine="0"/>
              <w:jc w:val="both"/>
              <w:rPr>
                <w:lang w:val="en-US"/>
              </w:rPr>
            </w:pPr>
            <w:r w:rsidRPr="008E45C3">
              <w:rPr>
                <w:lang w:val="en-US"/>
              </w:rPr>
              <w:t>of animals to be treated</w:t>
            </w:r>
          </w:p>
        </w:tc>
        <w:tc>
          <w:tcPr>
            <w:tcW w:w="3473" w:type="dxa"/>
          </w:tcPr>
          <w:p w14:paraId="7067CF45" w14:textId="77777777" w:rsidR="00C14FAB" w:rsidRPr="008E45C3" w:rsidRDefault="00C14FAB" w:rsidP="00C14FAB">
            <w:pPr>
              <w:pStyle w:val="a4"/>
              <w:ind w:firstLine="0"/>
              <w:jc w:val="both"/>
              <w:rPr>
                <w:lang w:val="en-US"/>
              </w:rPr>
            </w:pPr>
          </w:p>
          <w:p w14:paraId="59878E17" w14:textId="77777777" w:rsidR="00C14FAB" w:rsidRPr="008E45C3" w:rsidRDefault="00C14FAB" w:rsidP="00C14FAB">
            <w:pPr>
              <w:pStyle w:val="a4"/>
              <w:ind w:firstLine="0"/>
              <w:jc w:val="both"/>
              <w:rPr>
                <w:lang w:val="en-US"/>
              </w:rPr>
            </w:pPr>
          </w:p>
          <w:p w14:paraId="4062E44B" w14:textId="77777777" w:rsidR="00C14FAB" w:rsidRDefault="00C14FAB" w:rsidP="00C14FAB">
            <w:pPr>
              <w:pStyle w:val="a4"/>
              <w:ind w:firstLine="0"/>
              <w:jc w:val="both"/>
            </w:pPr>
            <w:r>
              <w:t>=</w:t>
            </w:r>
          </w:p>
        </w:tc>
      </w:tr>
      <w:tr w:rsidR="00C14FAB" w:rsidRPr="00BE7159" w14:paraId="722F66BF" w14:textId="77777777" w:rsidTr="00C14FAB">
        <w:tc>
          <w:tcPr>
            <w:tcW w:w="3472" w:type="dxa"/>
          </w:tcPr>
          <w:p w14:paraId="3178A512" w14:textId="77777777" w:rsidR="00C14FAB" w:rsidRPr="008E45C3" w:rsidRDefault="00C14FAB" w:rsidP="00C14FAB">
            <w:pPr>
              <w:pStyle w:val="a4"/>
              <w:ind w:firstLine="0"/>
              <w:jc w:val="both"/>
              <w:rPr>
                <w:lang w:val="en-US"/>
              </w:rPr>
            </w:pPr>
            <w:r w:rsidRPr="008E45C3">
              <w:rPr>
                <w:lang w:val="en-US"/>
              </w:rPr>
              <w:t>Average daily water consumption (L) per animal</w:t>
            </w:r>
          </w:p>
        </w:tc>
        <w:tc>
          <w:tcPr>
            <w:tcW w:w="3472" w:type="dxa"/>
          </w:tcPr>
          <w:p w14:paraId="7C617C40" w14:textId="77777777" w:rsidR="00C14FAB" w:rsidRPr="008E45C3" w:rsidRDefault="00C14FAB" w:rsidP="00C14FAB">
            <w:pPr>
              <w:pStyle w:val="a4"/>
              <w:ind w:firstLine="0"/>
              <w:jc w:val="both"/>
              <w:rPr>
                <w:lang w:val="en-US"/>
              </w:rPr>
            </w:pPr>
          </w:p>
        </w:tc>
        <w:tc>
          <w:tcPr>
            <w:tcW w:w="3473" w:type="dxa"/>
          </w:tcPr>
          <w:p w14:paraId="42E8A5DA" w14:textId="77777777" w:rsidR="00C14FAB" w:rsidRPr="008E45C3" w:rsidRDefault="00C14FAB" w:rsidP="00C14FAB">
            <w:pPr>
              <w:pStyle w:val="a4"/>
              <w:ind w:firstLine="0"/>
              <w:jc w:val="both"/>
              <w:rPr>
                <w:lang w:val="en-US"/>
              </w:rPr>
            </w:pPr>
            <w:r w:rsidRPr="008E45C3">
              <w:rPr>
                <w:lang w:val="en-US"/>
              </w:rPr>
              <w:t>Required quantity of the drug (mg) per 1 L of drinking water</w:t>
            </w:r>
          </w:p>
        </w:tc>
      </w:tr>
    </w:tbl>
    <w:p w14:paraId="1F85A353" w14:textId="77777777" w:rsidR="00C14FAB" w:rsidRPr="008E45C3" w:rsidRDefault="00C14FAB" w:rsidP="00C14FAB">
      <w:pPr>
        <w:pStyle w:val="a4"/>
        <w:ind w:firstLine="561"/>
        <w:jc w:val="both"/>
        <w:rPr>
          <w:lang w:val="en-US"/>
        </w:rPr>
      </w:pPr>
    </w:p>
    <w:p w14:paraId="64D77D65" w14:textId="77777777" w:rsidR="00DB13B3" w:rsidRPr="008E45C3" w:rsidRDefault="004110C1">
      <w:pPr>
        <w:pStyle w:val="a4"/>
        <w:spacing w:line="230" w:lineRule="auto"/>
        <w:ind w:firstLine="560"/>
        <w:jc w:val="both"/>
        <w:rPr>
          <w:lang w:val="en-US"/>
        </w:rPr>
      </w:pPr>
      <w:r w:rsidRPr="008E45C3">
        <w:rPr>
          <w:lang w:val="en-US"/>
        </w:rPr>
        <w:t xml:space="preserve">Orally </w:t>
      </w:r>
      <w:r w:rsidRPr="008E45C3">
        <w:rPr>
          <w:color w:val="131313"/>
          <w:lang w:val="en-US"/>
        </w:rPr>
        <w:t>with drinking water as the sole source of hydration in doses:</w:t>
      </w:r>
    </w:p>
    <w:p w14:paraId="39F26827" w14:textId="77777777" w:rsidR="00DB13B3" w:rsidRPr="008E45C3" w:rsidRDefault="004110C1">
      <w:pPr>
        <w:pStyle w:val="a4"/>
        <w:spacing w:line="230" w:lineRule="auto"/>
        <w:ind w:firstLine="580"/>
        <w:jc w:val="both"/>
        <w:rPr>
          <w:lang w:val="en-US"/>
        </w:rPr>
      </w:pPr>
      <w:r w:rsidRPr="008E45C3">
        <w:rPr>
          <w:u w:val="single"/>
          <w:lang w:val="en-US"/>
        </w:rPr>
        <w:t xml:space="preserve">Pigs: </w:t>
      </w:r>
      <w:r w:rsidRPr="008E45C3">
        <w:rPr>
          <w:lang w:val="en-US"/>
        </w:rPr>
        <w:t xml:space="preserve">for </w:t>
      </w:r>
      <w:r w:rsidRPr="008E45C3">
        <w:rPr>
          <w:color w:val="131313"/>
          <w:lang w:val="en-US"/>
        </w:rPr>
        <w:t xml:space="preserve">the treatment of swine dysentery caused by </w:t>
      </w:r>
      <w:r w:rsidRPr="008E45C3">
        <w:rPr>
          <w:i/>
          <w:iCs/>
          <w:color w:val="131313"/>
          <w:lang w:val="en-US"/>
        </w:rPr>
        <w:t>Brachyspira hyodysenteriae,</w:t>
      </w:r>
      <w:r w:rsidRPr="008E45C3">
        <w:rPr>
          <w:color w:val="131313"/>
          <w:lang w:val="en-US"/>
        </w:rPr>
        <w:t xml:space="preserve"> </w:t>
      </w:r>
      <w:r w:rsidR="00C87C67" w:rsidRPr="008E45C3">
        <w:rPr>
          <w:lang w:val="en-US"/>
        </w:rPr>
        <w:t>the</w:t>
      </w:r>
      <w:r w:rsidRPr="008E45C3">
        <w:rPr>
          <w:lang w:val="en-US"/>
        </w:rPr>
        <w:t xml:space="preserve"> dose is 8.8 mg of tiamulin </w:t>
      </w:r>
      <w:r w:rsidRPr="008E45C3">
        <w:rPr>
          <w:color w:val="131313"/>
          <w:lang w:val="en-US"/>
        </w:rPr>
        <w:t xml:space="preserve">hydrogen fumarate (equivalent to 19.6 mg of the drug) per 1 kg </w:t>
      </w:r>
      <w:r w:rsidRPr="008E45C3">
        <w:rPr>
          <w:lang w:val="en-US"/>
        </w:rPr>
        <w:t xml:space="preserve">of body weight daily for </w:t>
      </w:r>
      <w:r w:rsidRPr="008E45C3">
        <w:rPr>
          <w:color w:val="131313"/>
          <w:lang w:val="en-US"/>
        </w:rPr>
        <w:t xml:space="preserve">3-5 days, depending on </w:t>
      </w:r>
      <w:r w:rsidRPr="008E45C3">
        <w:rPr>
          <w:lang w:val="en-US"/>
        </w:rPr>
        <w:t xml:space="preserve">the severity of the infection </w:t>
      </w:r>
      <w:r w:rsidRPr="008E45C3">
        <w:rPr>
          <w:color w:val="131313"/>
          <w:lang w:val="en-US"/>
        </w:rPr>
        <w:t>and/or the duration of the disease.</w:t>
      </w:r>
    </w:p>
    <w:p w14:paraId="23927F8E" w14:textId="77777777" w:rsidR="00DB13B3" w:rsidRPr="008E45C3" w:rsidRDefault="004110C1">
      <w:pPr>
        <w:pStyle w:val="a4"/>
        <w:spacing w:line="230" w:lineRule="auto"/>
        <w:ind w:firstLine="580"/>
        <w:jc w:val="both"/>
        <w:rPr>
          <w:lang w:val="en-US"/>
        </w:rPr>
      </w:pPr>
      <w:r w:rsidRPr="008E45C3">
        <w:rPr>
          <w:lang w:val="en-US"/>
        </w:rPr>
        <w:t xml:space="preserve">For </w:t>
      </w:r>
      <w:r w:rsidRPr="008E45C3">
        <w:rPr>
          <w:color w:val="131313"/>
          <w:lang w:val="en-US"/>
        </w:rPr>
        <w:t xml:space="preserve">the treatment of spirochetosis </w:t>
      </w:r>
      <w:r w:rsidRPr="008E45C3">
        <w:rPr>
          <w:lang w:val="en-US"/>
        </w:rPr>
        <w:t xml:space="preserve">(colitis) caused by </w:t>
      </w:r>
      <w:r w:rsidRPr="008E45C3">
        <w:rPr>
          <w:i/>
          <w:iCs/>
          <w:color w:val="131313"/>
          <w:lang w:val="en-US"/>
        </w:rPr>
        <w:t xml:space="preserve">Brachyspira </w:t>
      </w:r>
      <w:r w:rsidRPr="008E45C3">
        <w:rPr>
          <w:i/>
          <w:iCs/>
          <w:lang w:val="en-US"/>
        </w:rPr>
        <w:t xml:space="preserve">pilosicoli, </w:t>
      </w:r>
      <w:r w:rsidRPr="008E45C3">
        <w:rPr>
          <w:lang w:val="en-US"/>
        </w:rPr>
        <w:t xml:space="preserve">the dose is 8.8 mg of tiamulin </w:t>
      </w:r>
      <w:r w:rsidRPr="008E45C3">
        <w:rPr>
          <w:color w:val="131313"/>
          <w:lang w:val="en-US"/>
        </w:rPr>
        <w:t xml:space="preserve">hydrogen fumarate </w:t>
      </w:r>
      <w:r w:rsidRPr="008E45C3">
        <w:rPr>
          <w:lang w:val="en-US"/>
        </w:rPr>
        <w:t xml:space="preserve">(equivalent to </w:t>
      </w:r>
      <w:r w:rsidRPr="008E45C3">
        <w:rPr>
          <w:color w:val="131313"/>
          <w:lang w:val="en-US"/>
        </w:rPr>
        <w:t xml:space="preserve">19.6 mg of the drug) </w:t>
      </w:r>
      <w:r w:rsidRPr="008E45C3">
        <w:rPr>
          <w:lang w:val="en-US"/>
        </w:rPr>
        <w:t xml:space="preserve">per 1 kg of body weight daily </w:t>
      </w:r>
      <w:r w:rsidRPr="008E45C3">
        <w:rPr>
          <w:color w:val="131313"/>
          <w:lang w:val="en-US"/>
        </w:rPr>
        <w:t xml:space="preserve">for 3-5 days, depending on the severity of the infection and/or the duration </w:t>
      </w:r>
      <w:r w:rsidRPr="008E45C3">
        <w:rPr>
          <w:lang w:val="en-US"/>
        </w:rPr>
        <w:t>of the disease.</w:t>
      </w:r>
    </w:p>
    <w:p w14:paraId="463426D4" w14:textId="77777777" w:rsidR="00DB13B3" w:rsidRPr="008E45C3" w:rsidRDefault="004110C1">
      <w:pPr>
        <w:pStyle w:val="a4"/>
        <w:spacing w:line="230" w:lineRule="auto"/>
        <w:ind w:firstLine="580"/>
        <w:jc w:val="both"/>
        <w:rPr>
          <w:lang w:val="en-US"/>
        </w:rPr>
      </w:pPr>
      <w:r w:rsidRPr="008E45C3">
        <w:rPr>
          <w:lang w:val="en-US"/>
        </w:rPr>
        <w:t xml:space="preserve">For the treatment of proliferative enteropathy (ileitis) caused by </w:t>
      </w:r>
      <w:r w:rsidRPr="008E45C3">
        <w:rPr>
          <w:i/>
          <w:iCs/>
          <w:lang w:val="en-US"/>
        </w:rPr>
        <w:t xml:space="preserve">Lawsonia intracellularis, </w:t>
      </w:r>
      <w:r w:rsidRPr="008E45C3">
        <w:rPr>
          <w:lang w:val="en-US"/>
        </w:rPr>
        <w:t xml:space="preserve">the dose </w:t>
      </w:r>
      <w:r w:rsidRPr="008E45C3">
        <w:rPr>
          <w:color w:val="131313"/>
          <w:lang w:val="en-US"/>
        </w:rPr>
        <w:t xml:space="preserve">is 8.8 </w:t>
      </w:r>
      <w:r w:rsidR="00C87C67" w:rsidRPr="008E45C3">
        <w:rPr>
          <w:color w:val="131313"/>
          <w:lang w:val="en-US"/>
        </w:rPr>
        <w:t>mg of tiamulin hydrogen fumarate (</w:t>
      </w:r>
      <w:r w:rsidRPr="008E45C3">
        <w:rPr>
          <w:lang w:val="en-US"/>
        </w:rPr>
        <w:t xml:space="preserve">equivalent to 19.6 mg of the drug) per 1 kg of body weight </w:t>
      </w:r>
      <w:r w:rsidRPr="008E45C3">
        <w:rPr>
          <w:color w:val="131313"/>
          <w:lang w:val="en-US"/>
        </w:rPr>
        <w:t>daily for 5 days.</w:t>
      </w:r>
    </w:p>
    <w:p w14:paraId="59C26E5A" w14:textId="77777777" w:rsidR="00DB13B3" w:rsidRPr="008E45C3" w:rsidRDefault="004110C1">
      <w:pPr>
        <w:pStyle w:val="a4"/>
        <w:spacing w:line="233" w:lineRule="auto"/>
        <w:ind w:firstLine="580"/>
        <w:jc w:val="both"/>
        <w:rPr>
          <w:lang w:val="en-US"/>
        </w:rPr>
      </w:pPr>
      <w:r w:rsidRPr="008E45C3">
        <w:rPr>
          <w:lang w:val="en-US"/>
        </w:rPr>
        <w:t xml:space="preserve">For the treatment and metaphylaxis of enzootic pneumonia </w:t>
      </w:r>
      <w:r w:rsidRPr="008E45C3">
        <w:rPr>
          <w:color w:val="131313"/>
          <w:lang w:val="en-US"/>
        </w:rPr>
        <w:t xml:space="preserve">caused by </w:t>
      </w:r>
      <w:r w:rsidRPr="008E45C3">
        <w:rPr>
          <w:i/>
          <w:iCs/>
          <w:color w:val="131313"/>
          <w:lang w:val="en-US"/>
        </w:rPr>
        <w:t xml:space="preserve">Mycoplasma </w:t>
      </w:r>
      <w:r w:rsidRPr="008E45C3">
        <w:rPr>
          <w:i/>
          <w:iCs/>
          <w:lang w:val="en-US"/>
        </w:rPr>
        <w:t xml:space="preserve">hyopneumoniae, </w:t>
      </w:r>
      <w:r w:rsidRPr="008E45C3">
        <w:rPr>
          <w:lang w:val="en-US"/>
        </w:rPr>
        <w:t xml:space="preserve">including mycoplasmosis complicated by </w:t>
      </w:r>
      <w:r w:rsidR="00C87C67" w:rsidRPr="008E45C3">
        <w:rPr>
          <w:lang w:val="en-US"/>
        </w:rPr>
        <w:t>tiamulin</w:t>
      </w:r>
      <w:r w:rsidR="00C87C67" w:rsidRPr="008E45C3">
        <w:rPr>
          <w:i/>
          <w:iCs/>
          <w:lang w:val="en-US"/>
        </w:rPr>
        <w:t>-</w:t>
      </w:r>
      <w:r w:rsidR="00C87C67" w:rsidRPr="008E45C3">
        <w:rPr>
          <w:color w:val="131313"/>
          <w:lang w:val="en-US"/>
        </w:rPr>
        <w:t xml:space="preserve">sensitive </w:t>
      </w:r>
      <w:r w:rsidRPr="008E45C3">
        <w:rPr>
          <w:i/>
          <w:iCs/>
          <w:lang w:val="en-US"/>
        </w:rPr>
        <w:t xml:space="preserve">Pasteurella </w:t>
      </w:r>
      <w:r w:rsidR="00C87C67" w:rsidRPr="008E45C3">
        <w:rPr>
          <w:i/>
          <w:iCs/>
          <w:color w:val="131313"/>
          <w:lang w:val="en-US"/>
        </w:rPr>
        <w:t>multocida,</w:t>
      </w:r>
      <w:r w:rsidRPr="008E45C3">
        <w:rPr>
          <w:lang w:val="en-US"/>
        </w:rPr>
        <w:t xml:space="preserve"> the dose is 20 mg</w:t>
      </w:r>
      <w:r w:rsidR="00C87C67" w:rsidRPr="008E45C3">
        <w:rPr>
          <w:lang w:val="en-US"/>
        </w:rPr>
        <w:t xml:space="preserve"> of</w:t>
      </w:r>
      <w:r w:rsidRPr="008E45C3">
        <w:rPr>
          <w:lang w:val="en-US"/>
        </w:rPr>
        <w:t xml:space="preserve"> tiamulin hydrogen fumarate (equivalent to </w:t>
      </w:r>
      <w:r w:rsidRPr="008E45C3">
        <w:rPr>
          <w:color w:val="131313"/>
          <w:lang w:val="en-US"/>
        </w:rPr>
        <w:t xml:space="preserve">44.4 mg of the drug) </w:t>
      </w:r>
      <w:r w:rsidRPr="008E45C3">
        <w:rPr>
          <w:lang w:val="en-US"/>
        </w:rPr>
        <w:t>per 1 kg of body weight daily for 5 days.</w:t>
      </w:r>
    </w:p>
    <w:p w14:paraId="13105CA6" w14:textId="77777777" w:rsidR="00DB13B3" w:rsidRPr="008E45C3" w:rsidRDefault="004110C1">
      <w:pPr>
        <w:pStyle w:val="a4"/>
        <w:spacing w:after="80" w:line="230" w:lineRule="auto"/>
        <w:ind w:firstLine="580"/>
        <w:jc w:val="both"/>
        <w:rPr>
          <w:lang w:val="en-US"/>
        </w:rPr>
      </w:pPr>
      <w:r w:rsidRPr="008E45C3">
        <w:rPr>
          <w:lang w:val="en-US"/>
        </w:rPr>
        <w:t xml:space="preserve">For the treatment of pleuropneumonia caused by </w:t>
      </w:r>
      <w:r w:rsidR="00C87C67" w:rsidRPr="008E45C3">
        <w:rPr>
          <w:lang w:val="en-US"/>
        </w:rPr>
        <w:t>tiamulin</w:t>
      </w:r>
      <w:r w:rsidR="00C87C67" w:rsidRPr="008E45C3">
        <w:rPr>
          <w:i/>
          <w:iCs/>
          <w:lang w:val="en-US"/>
        </w:rPr>
        <w:t>-</w:t>
      </w:r>
      <w:r w:rsidR="00C87C67" w:rsidRPr="008E45C3">
        <w:rPr>
          <w:color w:val="131313"/>
          <w:lang w:val="en-US"/>
        </w:rPr>
        <w:t xml:space="preserve">sensitive </w:t>
      </w:r>
      <w:r w:rsidR="00C87C67" w:rsidRPr="008E45C3">
        <w:rPr>
          <w:i/>
          <w:iCs/>
          <w:lang w:val="en-US"/>
        </w:rPr>
        <w:t>Actinobacillus pleuropneumoniae</w:t>
      </w:r>
      <w:r w:rsidRPr="008E45C3">
        <w:rPr>
          <w:lang w:val="en-US"/>
        </w:rPr>
        <w:t>, the dose is 20 mg</w:t>
      </w:r>
      <w:r w:rsidR="00C87C67" w:rsidRPr="008E45C3">
        <w:rPr>
          <w:lang w:val="en-US"/>
        </w:rPr>
        <w:t xml:space="preserve"> of</w:t>
      </w:r>
      <w:r w:rsidRPr="008E45C3">
        <w:rPr>
          <w:lang w:val="en-US"/>
        </w:rPr>
        <w:t xml:space="preserve"> tiamulin hydrogen fumarate (equivalent to 44.4 mg of the drug) per 1 kg of body weight daily for 5 days.</w:t>
      </w:r>
      <w:r w:rsidRPr="008E45C3">
        <w:rPr>
          <w:lang w:val="en-US"/>
        </w:rPr>
        <w:br w:type="page"/>
      </w:r>
    </w:p>
    <w:p w14:paraId="75BEF9A2" w14:textId="77777777" w:rsidR="001C2865" w:rsidRPr="008E45C3" w:rsidRDefault="001C2865" w:rsidP="001C2865">
      <w:pPr>
        <w:pStyle w:val="a4"/>
        <w:jc w:val="right"/>
        <w:rPr>
          <w:bCs/>
          <w:lang w:val="en-US"/>
        </w:rPr>
      </w:pPr>
      <w:r w:rsidRPr="008E45C3">
        <w:rPr>
          <w:bCs/>
          <w:lang w:val="en-US"/>
        </w:rPr>
        <w:t>Appendix 2</w:t>
      </w:r>
    </w:p>
    <w:p w14:paraId="3A7BB7EF" w14:textId="77777777" w:rsidR="001C2865" w:rsidRPr="008E45C3" w:rsidRDefault="001C2865" w:rsidP="001C2865">
      <w:pPr>
        <w:pStyle w:val="a4"/>
        <w:jc w:val="right"/>
        <w:rPr>
          <w:bCs/>
          <w:lang w:val="en-US"/>
        </w:rPr>
      </w:pPr>
      <w:r w:rsidRPr="008E45C3">
        <w:rPr>
          <w:bCs/>
          <w:lang w:val="en-US"/>
        </w:rPr>
        <w:t xml:space="preserve">to the Registration Certificate </w:t>
      </w:r>
      <w:r w:rsidRPr="00E4379F">
        <w:rPr>
          <w:bCs/>
        </w:rPr>
        <w:t>АВ</w:t>
      </w:r>
      <w:r w:rsidRPr="008E45C3">
        <w:rPr>
          <w:bCs/>
          <w:lang w:val="en-US"/>
        </w:rPr>
        <w:t>-09762-01-25</w:t>
      </w:r>
    </w:p>
    <w:p w14:paraId="374C1DDF" w14:textId="77777777" w:rsidR="001C2865" w:rsidRPr="00BE7159" w:rsidRDefault="001C2865" w:rsidP="001C2865">
      <w:pPr>
        <w:pStyle w:val="a4"/>
        <w:ind w:firstLine="580"/>
        <w:jc w:val="right"/>
        <w:rPr>
          <w:color w:val="131313"/>
          <w:u w:val="single"/>
          <w:lang w:val="en-US"/>
        </w:rPr>
      </w:pPr>
      <w:r w:rsidRPr="00BE7159">
        <w:rPr>
          <w:bCs/>
          <w:lang w:val="en-US"/>
        </w:rPr>
        <w:t>10.03.2025</w:t>
      </w:r>
    </w:p>
    <w:p w14:paraId="7E22C9E0" w14:textId="77777777" w:rsidR="00DB13B3" w:rsidRPr="008E45C3" w:rsidRDefault="004110C1">
      <w:pPr>
        <w:pStyle w:val="a4"/>
        <w:ind w:firstLine="580"/>
        <w:jc w:val="both"/>
        <w:rPr>
          <w:lang w:val="en-US"/>
        </w:rPr>
      </w:pPr>
      <w:r w:rsidRPr="008E45C3">
        <w:rPr>
          <w:color w:val="131313"/>
          <w:u w:val="single"/>
          <w:lang w:val="en-US"/>
        </w:rPr>
        <w:t xml:space="preserve">Broiler chickens, young </w:t>
      </w:r>
      <w:r w:rsidR="00C87C67" w:rsidRPr="008E45C3">
        <w:rPr>
          <w:color w:val="131313"/>
          <w:u w:val="single"/>
          <w:lang w:val="en-US"/>
        </w:rPr>
        <w:t>growth</w:t>
      </w:r>
      <w:r w:rsidRPr="008E45C3">
        <w:rPr>
          <w:color w:val="131313"/>
          <w:u w:val="single"/>
          <w:lang w:val="en-US"/>
        </w:rPr>
        <w:t xml:space="preserve">, </w:t>
      </w:r>
      <w:r w:rsidR="00C87C67" w:rsidRPr="008E45C3">
        <w:rPr>
          <w:color w:val="131313"/>
          <w:u w:val="single"/>
          <w:lang w:val="en-US"/>
        </w:rPr>
        <w:t>layers</w:t>
      </w:r>
      <w:r w:rsidRPr="008E45C3">
        <w:rPr>
          <w:color w:val="131313"/>
          <w:lang w:val="en-US"/>
        </w:rPr>
        <w:t xml:space="preserve">: </w:t>
      </w:r>
      <w:r w:rsidRPr="008E45C3">
        <w:rPr>
          <w:lang w:val="en-US"/>
        </w:rPr>
        <w:t xml:space="preserve">for the treatment and metaphylaxis of chronic respiratory diseases caused by </w:t>
      </w:r>
      <w:r w:rsidRPr="008E45C3">
        <w:rPr>
          <w:i/>
          <w:iCs/>
          <w:lang w:val="en-US"/>
        </w:rPr>
        <w:t xml:space="preserve">Mycoplasma gallisepticum, Airsacculitis, </w:t>
      </w:r>
      <w:r w:rsidRPr="008E45C3">
        <w:rPr>
          <w:lang w:val="en-US"/>
        </w:rPr>
        <w:t xml:space="preserve">and infectious synovitis caused by </w:t>
      </w:r>
      <w:r w:rsidRPr="008E45C3">
        <w:rPr>
          <w:i/>
          <w:iCs/>
          <w:lang w:val="en-US"/>
        </w:rPr>
        <w:t xml:space="preserve">Mycoplasma synoviae, </w:t>
      </w:r>
      <w:r w:rsidRPr="008E45C3">
        <w:rPr>
          <w:lang w:val="en-US"/>
        </w:rPr>
        <w:t>the dose is 25 mg of tiamulin hydrogen fumarate (equivalent to 55.6 mg of the drug) per 1 kg of body weight daily for 3-5 days.</w:t>
      </w:r>
    </w:p>
    <w:p w14:paraId="17A79CB9" w14:textId="77777777" w:rsidR="00DB13B3" w:rsidRPr="008E45C3" w:rsidRDefault="00C87C67">
      <w:pPr>
        <w:pStyle w:val="a4"/>
        <w:ind w:firstLine="580"/>
        <w:jc w:val="both"/>
        <w:rPr>
          <w:lang w:val="en-US"/>
        </w:rPr>
      </w:pPr>
      <w:r w:rsidRPr="008E45C3">
        <w:rPr>
          <w:color w:val="131313"/>
          <w:u w:val="single"/>
          <w:lang w:val="en-US"/>
        </w:rPr>
        <w:t>Turkeys</w:t>
      </w:r>
      <w:r w:rsidR="004110C1" w:rsidRPr="008E45C3">
        <w:rPr>
          <w:color w:val="131313"/>
          <w:lang w:val="en-US"/>
        </w:rPr>
        <w:t xml:space="preserve">: for the treatment and </w:t>
      </w:r>
      <w:r w:rsidR="004110C1" w:rsidRPr="008E45C3">
        <w:rPr>
          <w:lang w:val="en-US"/>
        </w:rPr>
        <w:t xml:space="preserve">metaphylaxis of infectious sinusitis and air sacculitis caused by </w:t>
      </w:r>
      <w:r w:rsidR="004110C1" w:rsidRPr="008E45C3">
        <w:rPr>
          <w:i/>
          <w:iCs/>
          <w:color w:val="131313"/>
          <w:lang w:val="en-US"/>
        </w:rPr>
        <w:t xml:space="preserve">Mycoplasma gallisepticum, Mycoplasma </w:t>
      </w:r>
      <w:r w:rsidR="004110C1" w:rsidRPr="008E45C3">
        <w:rPr>
          <w:i/>
          <w:iCs/>
          <w:lang w:val="en-US"/>
        </w:rPr>
        <w:t xml:space="preserve">synoviae </w:t>
      </w:r>
      <w:r w:rsidR="004110C1" w:rsidRPr="008E45C3">
        <w:rPr>
          <w:lang w:val="en-US"/>
        </w:rPr>
        <w:t xml:space="preserve">and </w:t>
      </w:r>
      <w:r w:rsidR="004110C1" w:rsidRPr="008E45C3">
        <w:rPr>
          <w:i/>
          <w:iCs/>
          <w:lang w:val="en-US"/>
        </w:rPr>
        <w:t xml:space="preserve">Mycoplasma meleagridis, </w:t>
      </w:r>
      <w:r w:rsidR="004110C1" w:rsidRPr="008E45C3">
        <w:rPr>
          <w:lang w:val="en-US"/>
        </w:rPr>
        <w:t xml:space="preserve">the dose is 40 mg </w:t>
      </w:r>
      <w:r w:rsidR="00064FF6" w:rsidRPr="008E45C3">
        <w:rPr>
          <w:color w:val="131313"/>
          <w:lang w:val="en-US"/>
        </w:rPr>
        <w:t>tiamulin hydrogen fumarate (</w:t>
      </w:r>
      <w:r w:rsidR="004110C1" w:rsidRPr="008E45C3">
        <w:rPr>
          <w:lang w:val="en-US"/>
        </w:rPr>
        <w:t>equivalent to 88.9 mg of the drug) per 1 kg of body weight daily for 3-5 days.</w:t>
      </w:r>
    </w:p>
    <w:p w14:paraId="143432E9" w14:textId="77777777" w:rsidR="00DB13B3" w:rsidRPr="008E45C3" w:rsidRDefault="004110C1">
      <w:pPr>
        <w:pStyle w:val="a4"/>
        <w:ind w:firstLine="580"/>
        <w:jc w:val="both"/>
        <w:rPr>
          <w:lang w:val="en-US"/>
        </w:rPr>
      </w:pPr>
      <w:r w:rsidRPr="008E45C3">
        <w:rPr>
          <w:lang w:val="en-US"/>
        </w:rPr>
        <w:t xml:space="preserve">The drinking water </w:t>
      </w:r>
      <w:r w:rsidR="00064FF6" w:rsidRPr="008E45C3">
        <w:rPr>
          <w:lang w:val="en-US"/>
        </w:rPr>
        <w:t>with the drug shall</w:t>
      </w:r>
      <w:r w:rsidRPr="008E45C3">
        <w:rPr>
          <w:lang w:val="en-US"/>
        </w:rPr>
        <w:t xml:space="preserve"> be the only source of drinking water for the animals throughout the treatment period. The water </w:t>
      </w:r>
      <w:r w:rsidR="00064FF6" w:rsidRPr="008E45C3">
        <w:rPr>
          <w:lang w:val="en-US"/>
        </w:rPr>
        <w:t>with the drug shall</w:t>
      </w:r>
      <w:r w:rsidRPr="008E45C3">
        <w:rPr>
          <w:lang w:val="en-US"/>
        </w:rPr>
        <w:t xml:space="preserve"> be renewed every 24 hours.</w:t>
      </w:r>
    </w:p>
    <w:p w14:paraId="3191D5FC" w14:textId="77777777" w:rsidR="00DB13B3" w:rsidRPr="00064FF6" w:rsidRDefault="004110C1">
      <w:pPr>
        <w:pStyle w:val="a4"/>
        <w:ind w:firstLine="560"/>
        <w:jc w:val="both"/>
        <w:rPr>
          <w:lang w:val="en-US"/>
        </w:rPr>
      </w:pPr>
      <w:r w:rsidRPr="008E45C3">
        <w:rPr>
          <w:b/>
          <w:bCs/>
          <w:lang w:val="en-US"/>
        </w:rPr>
        <w:t>Contraindication</w:t>
      </w:r>
      <w:r w:rsidR="00C87C67" w:rsidRPr="008E45C3">
        <w:rPr>
          <w:b/>
          <w:bCs/>
          <w:lang w:val="en-US"/>
        </w:rPr>
        <w:t>s</w:t>
      </w:r>
    </w:p>
    <w:p w14:paraId="42CAE702" w14:textId="77777777" w:rsidR="00DB13B3" w:rsidRPr="008E45C3" w:rsidRDefault="004110C1">
      <w:pPr>
        <w:pStyle w:val="a4"/>
        <w:ind w:firstLine="560"/>
        <w:jc w:val="both"/>
        <w:rPr>
          <w:lang w:val="en-US"/>
        </w:rPr>
      </w:pPr>
      <w:r w:rsidRPr="008E45C3">
        <w:rPr>
          <w:color w:val="131313"/>
          <w:lang w:val="en-US"/>
        </w:rPr>
        <w:t xml:space="preserve">Individual sensitivity of animals and birds to </w:t>
      </w:r>
      <w:r w:rsidRPr="008E45C3">
        <w:rPr>
          <w:lang w:val="en-US"/>
        </w:rPr>
        <w:t>the components of the drug.</w:t>
      </w:r>
    </w:p>
    <w:p w14:paraId="7D0D15FC" w14:textId="77777777" w:rsidR="00DB13B3" w:rsidRPr="008E45C3" w:rsidRDefault="004110C1">
      <w:pPr>
        <w:pStyle w:val="a4"/>
        <w:ind w:firstLine="580"/>
        <w:jc w:val="both"/>
        <w:rPr>
          <w:lang w:val="en-US"/>
        </w:rPr>
      </w:pPr>
      <w:r w:rsidRPr="008E45C3">
        <w:rPr>
          <w:color w:val="131313"/>
          <w:lang w:val="en-US"/>
        </w:rPr>
        <w:t xml:space="preserve">Pigs and poultry should not be given products containing </w:t>
      </w:r>
      <w:r w:rsidRPr="008E45C3">
        <w:rPr>
          <w:lang w:val="en-US"/>
        </w:rPr>
        <w:t xml:space="preserve">monensin, narasin or salinomycin </w:t>
      </w:r>
      <w:r w:rsidRPr="008E45C3">
        <w:rPr>
          <w:color w:val="131313"/>
          <w:lang w:val="en-US"/>
        </w:rPr>
        <w:t xml:space="preserve">for at least 7 days before, during and after </w:t>
      </w:r>
      <w:r w:rsidR="00064FF6" w:rsidRPr="008E45C3">
        <w:rPr>
          <w:color w:val="131313"/>
          <w:lang w:val="en-US"/>
        </w:rPr>
        <w:t xml:space="preserve">the </w:t>
      </w:r>
      <w:r w:rsidRPr="008E45C3">
        <w:rPr>
          <w:color w:val="131313"/>
          <w:lang w:val="en-US"/>
        </w:rPr>
        <w:t xml:space="preserve">treatment with tiamulin. </w:t>
      </w:r>
      <w:r w:rsidRPr="008E45C3">
        <w:rPr>
          <w:lang w:val="en-US"/>
        </w:rPr>
        <w:t xml:space="preserve">This may lead to deterioration </w:t>
      </w:r>
      <w:r w:rsidRPr="008E45C3">
        <w:rPr>
          <w:color w:val="131313"/>
          <w:lang w:val="en-US"/>
        </w:rPr>
        <w:t xml:space="preserve">of health (diarrhea, anorexia, paresis, nephrotoxic effects) </w:t>
      </w:r>
      <w:r w:rsidRPr="008E45C3">
        <w:rPr>
          <w:lang w:val="en-US"/>
        </w:rPr>
        <w:t>or even death.</w:t>
      </w:r>
    </w:p>
    <w:p w14:paraId="7A1151B7" w14:textId="77777777" w:rsidR="00DB13B3" w:rsidRPr="008E45C3" w:rsidRDefault="00064FF6">
      <w:pPr>
        <w:pStyle w:val="a4"/>
        <w:ind w:firstLine="580"/>
        <w:jc w:val="both"/>
        <w:rPr>
          <w:lang w:val="en-US"/>
        </w:rPr>
      </w:pPr>
      <w:r w:rsidRPr="008E45C3">
        <w:rPr>
          <w:lang w:val="en-US"/>
        </w:rPr>
        <w:t xml:space="preserve">Do not </w:t>
      </w:r>
      <w:r w:rsidRPr="008E45C3">
        <w:rPr>
          <w:color w:val="131313"/>
          <w:lang w:val="en-US"/>
        </w:rPr>
        <w:t xml:space="preserve">use concomitantly with </w:t>
      </w:r>
      <w:r w:rsidRPr="008E45C3">
        <w:rPr>
          <w:lang w:val="en-US"/>
        </w:rPr>
        <w:t>aminoglycosides</w:t>
      </w:r>
      <w:r w:rsidR="004110C1" w:rsidRPr="008E45C3">
        <w:rPr>
          <w:color w:val="131313"/>
          <w:lang w:val="en-US"/>
        </w:rPr>
        <w:t>.</w:t>
      </w:r>
    </w:p>
    <w:p w14:paraId="0578CC59" w14:textId="77777777" w:rsidR="00DB13B3" w:rsidRPr="008E45C3" w:rsidRDefault="004110C1">
      <w:pPr>
        <w:pStyle w:val="a4"/>
        <w:ind w:firstLine="580"/>
        <w:jc w:val="both"/>
        <w:rPr>
          <w:lang w:val="en-US"/>
        </w:rPr>
      </w:pPr>
      <w:r w:rsidRPr="008E45C3">
        <w:rPr>
          <w:lang w:val="en-US"/>
        </w:rPr>
        <w:t xml:space="preserve">Do not </w:t>
      </w:r>
      <w:r w:rsidRPr="008E45C3">
        <w:rPr>
          <w:color w:val="131313"/>
          <w:lang w:val="en-US"/>
        </w:rPr>
        <w:t xml:space="preserve">use </w:t>
      </w:r>
      <w:r w:rsidR="00216BD0">
        <w:rPr>
          <w:color w:val="131313"/>
          <w:lang w:val="en-US"/>
        </w:rPr>
        <w:t>in</w:t>
      </w:r>
      <w:r w:rsidRPr="008E45C3">
        <w:rPr>
          <w:color w:val="131313"/>
          <w:lang w:val="en-US"/>
        </w:rPr>
        <w:t xml:space="preserve"> breeding boars.</w:t>
      </w:r>
    </w:p>
    <w:p w14:paraId="06443758" w14:textId="77777777" w:rsidR="00DB13B3" w:rsidRPr="008E45C3" w:rsidRDefault="00644281">
      <w:pPr>
        <w:pStyle w:val="a4"/>
        <w:ind w:firstLine="580"/>
        <w:jc w:val="both"/>
        <w:rPr>
          <w:lang w:val="en-US"/>
        </w:rPr>
      </w:pPr>
      <w:r w:rsidRPr="008E45C3">
        <w:rPr>
          <w:lang w:val="en-US"/>
        </w:rPr>
        <w:t xml:space="preserve">Do not </w:t>
      </w:r>
      <w:r w:rsidRPr="008E45C3">
        <w:rPr>
          <w:color w:val="131313"/>
          <w:lang w:val="en-US"/>
        </w:rPr>
        <w:t xml:space="preserve">use </w:t>
      </w:r>
      <w:r w:rsidR="008E45C3">
        <w:rPr>
          <w:color w:val="131313"/>
          <w:lang w:val="en-US"/>
        </w:rPr>
        <w:t>for</w:t>
      </w:r>
      <w:r w:rsidRPr="008E45C3">
        <w:rPr>
          <w:color w:val="131313"/>
          <w:lang w:val="en-US"/>
        </w:rPr>
        <w:t xml:space="preserve"> case of </w:t>
      </w:r>
      <w:r w:rsidR="004110C1" w:rsidRPr="008E45C3">
        <w:rPr>
          <w:lang w:val="en-US"/>
        </w:rPr>
        <w:t xml:space="preserve">liver and kidney </w:t>
      </w:r>
      <w:r w:rsidRPr="008E45C3">
        <w:rPr>
          <w:lang w:val="en-US"/>
        </w:rPr>
        <w:t>dys</w:t>
      </w:r>
      <w:r w:rsidR="00064FF6" w:rsidRPr="008E45C3">
        <w:rPr>
          <w:color w:val="131313"/>
          <w:lang w:val="en-US"/>
        </w:rPr>
        <w:t>function</w:t>
      </w:r>
      <w:r w:rsidR="004110C1" w:rsidRPr="008E45C3">
        <w:rPr>
          <w:color w:val="131313"/>
          <w:lang w:val="en-US"/>
        </w:rPr>
        <w:t>.</w:t>
      </w:r>
    </w:p>
    <w:p w14:paraId="020BE99D" w14:textId="77777777" w:rsidR="00DB13B3" w:rsidRPr="008E45C3" w:rsidRDefault="004110C1">
      <w:pPr>
        <w:pStyle w:val="a4"/>
        <w:ind w:firstLine="580"/>
        <w:jc w:val="both"/>
        <w:rPr>
          <w:lang w:val="en-US"/>
        </w:rPr>
      </w:pPr>
      <w:r w:rsidRPr="008E45C3">
        <w:rPr>
          <w:color w:val="131313"/>
          <w:lang w:val="en-US"/>
        </w:rPr>
        <w:t xml:space="preserve">Do not use for prophylactic purposes, </w:t>
      </w:r>
      <w:r w:rsidR="00644281" w:rsidRPr="008E45C3">
        <w:rPr>
          <w:color w:val="131313"/>
          <w:lang w:val="en-US"/>
        </w:rPr>
        <w:t>and</w:t>
      </w:r>
      <w:r w:rsidRPr="008E45C3">
        <w:rPr>
          <w:lang w:val="en-US"/>
        </w:rPr>
        <w:t xml:space="preserve"> when identifying </w:t>
      </w:r>
      <w:r w:rsidR="00644281" w:rsidRPr="008E45C3">
        <w:rPr>
          <w:lang w:val="en-US"/>
        </w:rPr>
        <w:t>tiamulin-resistant pathogen strains</w:t>
      </w:r>
      <w:r w:rsidRPr="008E45C3">
        <w:rPr>
          <w:color w:val="131313"/>
          <w:lang w:val="en-US"/>
        </w:rPr>
        <w:t>.</w:t>
      </w:r>
    </w:p>
    <w:p w14:paraId="1E0DD9D2" w14:textId="77777777" w:rsidR="00C87C67" w:rsidRPr="00C87C67" w:rsidRDefault="00064FF6" w:rsidP="00C87C67">
      <w:pPr>
        <w:ind w:right="-2" w:firstLine="560"/>
        <w:rPr>
          <w:rFonts w:ascii="Times New Roman" w:hAnsi="Times New Roman"/>
          <w:b/>
          <w:lang w:val="en-US"/>
        </w:rPr>
      </w:pPr>
      <w:r>
        <w:rPr>
          <w:rFonts w:ascii="Times New Roman" w:hAnsi="Times New Roman"/>
          <w:b/>
          <w:lang w:val="en-US"/>
        </w:rPr>
        <w:t>Precautions</w:t>
      </w:r>
    </w:p>
    <w:p w14:paraId="146A0019" w14:textId="77777777" w:rsidR="00DB13B3" w:rsidRPr="0057715B" w:rsidRDefault="004110C1">
      <w:pPr>
        <w:pStyle w:val="a4"/>
        <w:ind w:firstLine="560"/>
        <w:jc w:val="both"/>
        <w:rPr>
          <w:lang w:val="en-US"/>
        </w:rPr>
      </w:pPr>
      <w:r w:rsidRPr="008E45C3">
        <w:rPr>
          <w:i/>
          <w:iCs/>
          <w:lang w:val="en-US"/>
        </w:rPr>
        <w:t>Side effect</w:t>
      </w:r>
      <w:r w:rsidR="0057715B">
        <w:rPr>
          <w:i/>
          <w:iCs/>
          <w:lang w:val="en-US"/>
        </w:rPr>
        <w:t>s</w:t>
      </w:r>
    </w:p>
    <w:p w14:paraId="4192690B" w14:textId="77777777" w:rsidR="00DB13B3" w:rsidRPr="008E45C3" w:rsidRDefault="004110C1">
      <w:pPr>
        <w:pStyle w:val="a4"/>
        <w:ind w:firstLine="580"/>
        <w:jc w:val="both"/>
        <w:rPr>
          <w:lang w:val="en-US"/>
        </w:rPr>
      </w:pPr>
      <w:r w:rsidRPr="008E45C3">
        <w:rPr>
          <w:lang w:val="en-US"/>
        </w:rPr>
        <w:t xml:space="preserve">When using the drug in recommended doses, side effects and complications are usually not observed. Very rarely, erythema or slight swelling of the skin may be observed in pigs after the use of tiamulin. If adverse reactions are suspected, treatment </w:t>
      </w:r>
      <w:r w:rsidR="0057715B" w:rsidRPr="008E45C3">
        <w:rPr>
          <w:lang w:val="en-US"/>
        </w:rPr>
        <w:t>shall</w:t>
      </w:r>
      <w:r w:rsidRPr="008E45C3">
        <w:rPr>
          <w:lang w:val="en-US"/>
        </w:rPr>
        <w:t xml:space="preserve"> be discontinued.</w:t>
      </w:r>
    </w:p>
    <w:p w14:paraId="28D49A0C" w14:textId="77777777" w:rsidR="00DB13B3" w:rsidRPr="008E45C3" w:rsidRDefault="004110C1">
      <w:pPr>
        <w:pStyle w:val="a4"/>
        <w:ind w:firstLine="580"/>
        <w:jc w:val="both"/>
        <w:rPr>
          <w:lang w:val="en-US"/>
        </w:rPr>
      </w:pPr>
      <w:r w:rsidRPr="008E45C3">
        <w:rPr>
          <w:i/>
          <w:iCs/>
          <w:color w:val="131313"/>
          <w:lang w:val="en-US"/>
        </w:rPr>
        <w:t>Special precautions for use</w:t>
      </w:r>
    </w:p>
    <w:p w14:paraId="7F268A09" w14:textId="77777777" w:rsidR="00DB13B3" w:rsidRPr="008E45C3" w:rsidRDefault="004110C1">
      <w:pPr>
        <w:pStyle w:val="a4"/>
        <w:ind w:firstLine="580"/>
        <w:jc w:val="both"/>
        <w:rPr>
          <w:lang w:val="en-US"/>
        </w:rPr>
      </w:pPr>
      <w:r w:rsidRPr="008E45C3">
        <w:rPr>
          <w:color w:val="131313"/>
          <w:lang w:val="en-US"/>
        </w:rPr>
        <w:t xml:space="preserve">The use of the veterinary medicinal </w:t>
      </w:r>
      <w:r w:rsidRPr="008E45C3">
        <w:rPr>
          <w:lang w:val="en-US"/>
        </w:rPr>
        <w:t xml:space="preserve">product </w:t>
      </w:r>
      <w:r w:rsidR="0057715B" w:rsidRPr="008E45C3">
        <w:rPr>
          <w:lang w:val="en-US"/>
        </w:rPr>
        <w:t>shall</w:t>
      </w:r>
      <w:r w:rsidRPr="008E45C3">
        <w:rPr>
          <w:lang w:val="en-US"/>
        </w:rPr>
        <w:t xml:space="preserve"> be based on the susceptibility </w:t>
      </w:r>
      <w:r w:rsidRPr="008E45C3">
        <w:rPr>
          <w:color w:val="131313"/>
          <w:lang w:val="en-US"/>
        </w:rPr>
        <w:t xml:space="preserve">of bacteria isolated from animals to tiamulin. If this </w:t>
      </w:r>
      <w:r w:rsidRPr="008E45C3">
        <w:rPr>
          <w:lang w:val="en-US"/>
        </w:rPr>
        <w:t xml:space="preserve">is not possible, therapy </w:t>
      </w:r>
      <w:r w:rsidR="0057715B" w:rsidRPr="008E45C3">
        <w:rPr>
          <w:lang w:val="en-US"/>
        </w:rPr>
        <w:t>shall</w:t>
      </w:r>
      <w:r w:rsidRPr="008E45C3">
        <w:rPr>
          <w:lang w:val="en-US"/>
        </w:rPr>
        <w:t xml:space="preserve"> </w:t>
      </w:r>
      <w:r w:rsidRPr="008E45C3">
        <w:rPr>
          <w:color w:val="131313"/>
          <w:lang w:val="en-US"/>
        </w:rPr>
        <w:t xml:space="preserve">be based on local (regional, farm) epizootic </w:t>
      </w:r>
      <w:r w:rsidRPr="008E45C3">
        <w:rPr>
          <w:lang w:val="en-US"/>
        </w:rPr>
        <w:t xml:space="preserve">information on the susceptibility </w:t>
      </w:r>
      <w:r w:rsidRPr="008E45C3">
        <w:rPr>
          <w:color w:val="131313"/>
          <w:lang w:val="en-US"/>
        </w:rPr>
        <w:t xml:space="preserve">of target bacteria. Inappropriate use of the veterinary medicinal </w:t>
      </w:r>
      <w:r w:rsidRPr="008E45C3">
        <w:rPr>
          <w:lang w:val="en-US"/>
        </w:rPr>
        <w:t xml:space="preserve">product may increase </w:t>
      </w:r>
      <w:r w:rsidRPr="008E45C3">
        <w:rPr>
          <w:color w:val="131313"/>
          <w:lang w:val="en-US"/>
        </w:rPr>
        <w:t xml:space="preserve">the prevalence of </w:t>
      </w:r>
      <w:r w:rsidR="0057715B" w:rsidRPr="008E45C3">
        <w:rPr>
          <w:color w:val="131313"/>
          <w:lang w:val="en-US"/>
        </w:rPr>
        <w:t>tiamulin-resistant bacteria</w:t>
      </w:r>
      <w:r w:rsidRPr="008E45C3">
        <w:rPr>
          <w:color w:val="131313"/>
          <w:lang w:val="en-US"/>
        </w:rPr>
        <w:t>.</w:t>
      </w:r>
    </w:p>
    <w:p w14:paraId="048A66A5" w14:textId="77777777" w:rsidR="00DB13B3" w:rsidRPr="008E45C3" w:rsidRDefault="004110C1">
      <w:pPr>
        <w:pStyle w:val="a4"/>
        <w:ind w:firstLine="580"/>
        <w:jc w:val="both"/>
        <w:rPr>
          <w:lang w:val="en-US"/>
        </w:rPr>
      </w:pPr>
      <w:r w:rsidRPr="008E45C3">
        <w:rPr>
          <w:i/>
          <w:iCs/>
          <w:lang w:val="en-US"/>
        </w:rPr>
        <w:t xml:space="preserve">Interaction with other </w:t>
      </w:r>
      <w:r w:rsidR="0057715B">
        <w:rPr>
          <w:i/>
          <w:iCs/>
          <w:lang w:val="en-US"/>
        </w:rPr>
        <w:t>medicinal products</w:t>
      </w:r>
      <w:r w:rsidRPr="008E45C3">
        <w:rPr>
          <w:i/>
          <w:iCs/>
          <w:lang w:val="en-US"/>
        </w:rPr>
        <w:t xml:space="preserve"> or other forms </w:t>
      </w:r>
      <w:r w:rsidRPr="008E45C3">
        <w:rPr>
          <w:i/>
          <w:iCs/>
          <w:color w:val="131313"/>
          <w:lang w:val="en-US"/>
        </w:rPr>
        <w:t>of interaction</w:t>
      </w:r>
    </w:p>
    <w:p w14:paraId="4C9086A8" w14:textId="77777777" w:rsidR="00DB13B3" w:rsidRPr="008E45C3" w:rsidRDefault="004110C1">
      <w:pPr>
        <w:pStyle w:val="a4"/>
        <w:ind w:firstLine="580"/>
        <w:jc w:val="both"/>
        <w:rPr>
          <w:lang w:val="en-US"/>
        </w:rPr>
      </w:pPr>
      <w:r w:rsidRPr="008E45C3">
        <w:rPr>
          <w:lang w:val="en-US"/>
        </w:rPr>
        <w:t xml:space="preserve">Tiamulin interacts with ionophores such </w:t>
      </w:r>
      <w:r w:rsidRPr="008E45C3">
        <w:rPr>
          <w:color w:val="131313"/>
          <w:lang w:val="en-US"/>
        </w:rPr>
        <w:t xml:space="preserve">as monensin, narasin or </w:t>
      </w:r>
      <w:r w:rsidRPr="008E45C3">
        <w:rPr>
          <w:lang w:val="en-US"/>
        </w:rPr>
        <w:t xml:space="preserve">salinomycin. This may lead to </w:t>
      </w:r>
      <w:r w:rsidR="0057715B" w:rsidRPr="008E45C3">
        <w:rPr>
          <w:lang w:val="en-US"/>
        </w:rPr>
        <w:t xml:space="preserve">the </w:t>
      </w:r>
      <w:r w:rsidR="0057715B" w:rsidRPr="008E45C3">
        <w:rPr>
          <w:color w:val="131313"/>
          <w:lang w:val="en-US"/>
        </w:rPr>
        <w:t>symptoms</w:t>
      </w:r>
      <w:r w:rsidRPr="008E45C3">
        <w:rPr>
          <w:color w:val="131313"/>
          <w:lang w:val="en-US"/>
        </w:rPr>
        <w:t xml:space="preserve"> characteristic of ionophore toxicosis. Therefore, the drug </w:t>
      </w:r>
      <w:r w:rsidR="0057715B" w:rsidRPr="008E45C3">
        <w:rPr>
          <w:lang w:val="en-US"/>
        </w:rPr>
        <w:t>shall</w:t>
      </w:r>
      <w:r w:rsidRPr="008E45C3">
        <w:rPr>
          <w:lang w:val="en-US"/>
        </w:rPr>
        <w:t xml:space="preserve"> not be used simultaneously with them for at least 7 days before, during </w:t>
      </w:r>
      <w:r w:rsidRPr="008E45C3">
        <w:rPr>
          <w:color w:val="131313"/>
          <w:lang w:val="en-US"/>
        </w:rPr>
        <w:t xml:space="preserve">and </w:t>
      </w:r>
      <w:r w:rsidRPr="008E45C3">
        <w:rPr>
          <w:lang w:val="en-US"/>
        </w:rPr>
        <w:t xml:space="preserve">after </w:t>
      </w:r>
      <w:r w:rsidR="0057715B" w:rsidRPr="008E45C3">
        <w:rPr>
          <w:lang w:val="en-US"/>
        </w:rPr>
        <w:t xml:space="preserve">the </w:t>
      </w:r>
      <w:r w:rsidRPr="008E45C3">
        <w:rPr>
          <w:lang w:val="en-US"/>
        </w:rPr>
        <w:t>treatment with tiamulin.</w:t>
      </w:r>
    </w:p>
    <w:p w14:paraId="5F8AB624" w14:textId="77777777" w:rsidR="00DB13B3" w:rsidRPr="008E45C3" w:rsidRDefault="004110C1">
      <w:pPr>
        <w:pStyle w:val="a4"/>
        <w:ind w:firstLine="580"/>
        <w:jc w:val="both"/>
        <w:rPr>
          <w:lang w:val="en-US"/>
        </w:rPr>
      </w:pPr>
      <w:r w:rsidRPr="008E45C3">
        <w:rPr>
          <w:lang w:val="en-US"/>
        </w:rPr>
        <w:t xml:space="preserve">The simultaneous </w:t>
      </w:r>
      <w:r w:rsidRPr="008E45C3">
        <w:rPr>
          <w:color w:val="131313"/>
          <w:lang w:val="en-US"/>
        </w:rPr>
        <w:t xml:space="preserve">use of tiamulin with </w:t>
      </w:r>
      <w:r w:rsidRPr="008E45C3">
        <w:rPr>
          <w:lang w:val="en-US"/>
        </w:rPr>
        <w:t xml:space="preserve">the divalent </w:t>
      </w:r>
      <w:r w:rsidRPr="008E45C3">
        <w:rPr>
          <w:color w:val="131313"/>
          <w:lang w:val="en-US"/>
        </w:rPr>
        <w:t xml:space="preserve">anticoccidial ionophores </w:t>
      </w:r>
      <w:r w:rsidRPr="008E45C3">
        <w:rPr>
          <w:lang w:val="en-US"/>
        </w:rPr>
        <w:t xml:space="preserve">lasalocid and semduramycin does not cause any </w:t>
      </w:r>
      <w:r w:rsidRPr="008E45C3">
        <w:rPr>
          <w:color w:val="131313"/>
          <w:lang w:val="en-US"/>
        </w:rPr>
        <w:t xml:space="preserve">interaction, however, use with </w:t>
      </w:r>
      <w:r w:rsidRPr="008E45C3">
        <w:rPr>
          <w:lang w:val="en-US"/>
        </w:rPr>
        <w:t xml:space="preserve">maduramycin may lead to temporary minor changes </w:t>
      </w:r>
      <w:r w:rsidRPr="008E45C3">
        <w:rPr>
          <w:color w:val="131313"/>
          <w:lang w:val="en-US"/>
        </w:rPr>
        <w:t xml:space="preserve">in the general </w:t>
      </w:r>
      <w:r w:rsidR="0057715B" w:rsidRPr="008E45C3">
        <w:rPr>
          <w:color w:val="131313"/>
          <w:lang w:val="en-US"/>
        </w:rPr>
        <w:t>state</w:t>
      </w:r>
      <w:r w:rsidRPr="008E45C3">
        <w:rPr>
          <w:color w:val="131313"/>
          <w:lang w:val="en-US"/>
        </w:rPr>
        <w:t xml:space="preserve"> of chickens, </w:t>
      </w:r>
      <w:r w:rsidRPr="008E45C3">
        <w:rPr>
          <w:lang w:val="en-US"/>
        </w:rPr>
        <w:t>including growth retardation.</w:t>
      </w:r>
    </w:p>
    <w:p w14:paraId="677A7E7C" w14:textId="77777777" w:rsidR="00DB13B3" w:rsidRPr="008E45C3" w:rsidRDefault="003669CB">
      <w:pPr>
        <w:pStyle w:val="a4"/>
        <w:ind w:firstLine="580"/>
        <w:jc w:val="both"/>
        <w:rPr>
          <w:lang w:val="en-US"/>
        </w:rPr>
      </w:pPr>
      <w:r>
        <w:rPr>
          <w:i/>
          <w:iCs/>
          <w:color w:val="131313"/>
          <w:lang w:val="en-US"/>
        </w:rPr>
        <w:t>Drug elimination</w:t>
      </w:r>
      <w:r w:rsidR="004110C1" w:rsidRPr="008E45C3">
        <w:rPr>
          <w:i/>
          <w:iCs/>
          <w:color w:val="131313"/>
          <w:lang w:val="en-US"/>
        </w:rPr>
        <w:t xml:space="preserve"> (withdrawal period)</w:t>
      </w:r>
    </w:p>
    <w:p w14:paraId="61533B1A" w14:textId="77777777" w:rsidR="00DB13B3" w:rsidRPr="008E45C3" w:rsidRDefault="004110C1">
      <w:pPr>
        <w:pStyle w:val="a4"/>
        <w:ind w:firstLine="580"/>
        <w:jc w:val="both"/>
        <w:rPr>
          <w:lang w:val="en-US"/>
        </w:rPr>
      </w:pPr>
      <w:r w:rsidRPr="008E45C3">
        <w:rPr>
          <w:color w:val="131313"/>
          <w:lang w:val="en-US"/>
        </w:rPr>
        <w:t xml:space="preserve">Slaughter of animals and poultry for meat is allowed after 2 days (pigs - if the dose of tiamulin hydrogen fumarate </w:t>
      </w:r>
      <w:r w:rsidR="003669CB" w:rsidRPr="008E45C3">
        <w:rPr>
          <w:color w:val="131313"/>
          <w:lang w:val="en-US"/>
        </w:rPr>
        <w:t>has been</w:t>
      </w:r>
      <w:r w:rsidRPr="008E45C3">
        <w:rPr>
          <w:color w:val="131313"/>
          <w:lang w:val="en-US"/>
        </w:rPr>
        <w:t xml:space="preserve"> 8.8 mg (equivalent to 19.6 mg of the drug)/kg of body weight), 4 days (pigs - if the dose of tiamulin hydrogen fumarate </w:t>
      </w:r>
      <w:r w:rsidR="003669CB" w:rsidRPr="008E45C3">
        <w:rPr>
          <w:color w:val="131313"/>
          <w:lang w:val="en-US"/>
        </w:rPr>
        <w:t>has been</w:t>
      </w:r>
      <w:r w:rsidRPr="008E45C3">
        <w:rPr>
          <w:color w:val="131313"/>
          <w:lang w:val="en-US"/>
        </w:rPr>
        <w:t xml:space="preserve"> 20 mg (equivalent to 44.4 mg of the drug)/kg of body weight), 2 days (broilers, young </w:t>
      </w:r>
      <w:r w:rsidR="003669CB" w:rsidRPr="008E45C3">
        <w:rPr>
          <w:color w:val="131313"/>
          <w:lang w:val="en-US"/>
        </w:rPr>
        <w:t>growth, layers</w:t>
      </w:r>
      <w:r w:rsidRPr="008E45C3">
        <w:rPr>
          <w:color w:val="131313"/>
          <w:lang w:val="en-US"/>
        </w:rPr>
        <w:t xml:space="preserve">) and 6 days (turkeys) after the last </w:t>
      </w:r>
      <w:r w:rsidR="003669CB" w:rsidRPr="008E45C3">
        <w:rPr>
          <w:color w:val="131313"/>
          <w:lang w:val="en-US"/>
        </w:rPr>
        <w:t>use</w:t>
      </w:r>
      <w:r w:rsidRPr="008E45C3">
        <w:rPr>
          <w:color w:val="131313"/>
          <w:lang w:val="en-US"/>
        </w:rPr>
        <w:t xml:space="preserve"> of the drug. The withdrawal period for eggs is 0 days. The meat obtained before the specified period </w:t>
      </w:r>
      <w:r w:rsidR="003669CB" w:rsidRPr="008E45C3">
        <w:rPr>
          <w:color w:val="131313"/>
          <w:lang w:val="en-US"/>
        </w:rPr>
        <w:t>shall be</w:t>
      </w:r>
      <w:r w:rsidRPr="008E45C3">
        <w:rPr>
          <w:color w:val="131313"/>
          <w:lang w:val="en-US"/>
        </w:rPr>
        <w:t xml:space="preserve"> disposed of or fed to unproductive animals, depending on the conclusion of the veterinarian.</w:t>
      </w:r>
    </w:p>
    <w:p w14:paraId="510F4F67" w14:textId="77777777" w:rsidR="00DB13B3" w:rsidRPr="008E45C3" w:rsidRDefault="00C87C67">
      <w:pPr>
        <w:pStyle w:val="a4"/>
        <w:ind w:firstLine="560"/>
        <w:jc w:val="both"/>
        <w:rPr>
          <w:lang w:val="en-US"/>
        </w:rPr>
      </w:pPr>
      <w:r w:rsidRPr="008E45C3">
        <w:rPr>
          <w:b/>
          <w:bCs/>
          <w:color w:val="131313"/>
          <w:lang w:val="en-US"/>
        </w:rPr>
        <w:t>Dosage</w:t>
      </w:r>
      <w:r w:rsidR="004110C1" w:rsidRPr="008E45C3">
        <w:rPr>
          <w:b/>
          <w:bCs/>
          <w:color w:val="131313"/>
          <w:lang w:val="en-US"/>
        </w:rPr>
        <w:t xml:space="preserve"> form</w:t>
      </w:r>
    </w:p>
    <w:p w14:paraId="5365FF07" w14:textId="77777777" w:rsidR="00DB13B3" w:rsidRPr="008E45C3" w:rsidRDefault="00C87C67">
      <w:pPr>
        <w:pStyle w:val="a4"/>
        <w:ind w:firstLine="560"/>
        <w:jc w:val="both"/>
        <w:rPr>
          <w:lang w:val="en-US"/>
        </w:rPr>
      </w:pPr>
      <w:r>
        <w:rPr>
          <w:lang w:val="en-US"/>
        </w:rPr>
        <w:t>Capped p</w:t>
      </w:r>
      <w:r w:rsidR="004110C1" w:rsidRPr="008E45C3">
        <w:rPr>
          <w:lang w:val="en-US"/>
        </w:rPr>
        <w:t xml:space="preserve">lastic containers of 10, 20, 50, 100, </w:t>
      </w:r>
      <w:r w:rsidRPr="008E45C3">
        <w:rPr>
          <w:lang w:val="en-US"/>
        </w:rPr>
        <w:t>300, 500 and 1000 g</w:t>
      </w:r>
      <w:r w:rsidR="004110C1" w:rsidRPr="008E45C3">
        <w:rPr>
          <w:lang w:val="en-US"/>
        </w:rPr>
        <w:t>.</w:t>
      </w:r>
      <w:r w:rsidR="004110C1" w:rsidRPr="008E45C3">
        <w:rPr>
          <w:lang w:val="en-US"/>
        </w:rPr>
        <w:br w:type="page"/>
      </w:r>
    </w:p>
    <w:p w14:paraId="0AF59CDE" w14:textId="77777777" w:rsidR="001C2865" w:rsidRPr="008E45C3" w:rsidRDefault="001C2865" w:rsidP="001C2865">
      <w:pPr>
        <w:pStyle w:val="a4"/>
        <w:jc w:val="right"/>
        <w:rPr>
          <w:bCs/>
          <w:lang w:val="en-US"/>
        </w:rPr>
      </w:pPr>
      <w:r w:rsidRPr="008E45C3">
        <w:rPr>
          <w:bCs/>
          <w:lang w:val="en-US"/>
        </w:rPr>
        <w:t>Appendix 2</w:t>
      </w:r>
    </w:p>
    <w:p w14:paraId="0B8FA4A7" w14:textId="77777777" w:rsidR="001C2865" w:rsidRPr="008E45C3" w:rsidRDefault="001C2865" w:rsidP="001C2865">
      <w:pPr>
        <w:pStyle w:val="a4"/>
        <w:jc w:val="right"/>
        <w:rPr>
          <w:bCs/>
          <w:lang w:val="en-US"/>
        </w:rPr>
      </w:pPr>
      <w:r w:rsidRPr="008E45C3">
        <w:rPr>
          <w:bCs/>
          <w:lang w:val="en-US"/>
        </w:rPr>
        <w:t xml:space="preserve">to the Registration Certificate </w:t>
      </w:r>
      <w:r w:rsidRPr="00E4379F">
        <w:rPr>
          <w:bCs/>
        </w:rPr>
        <w:t>АВ</w:t>
      </w:r>
      <w:r w:rsidRPr="008E45C3">
        <w:rPr>
          <w:bCs/>
          <w:lang w:val="en-US"/>
        </w:rPr>
        <w:t>-09762-01-25</w:t>
      </w:r>
    </w:p>
    <w:p w14:paraId="20AC5065" w14:textId="77777777" w:rsidR="001C2865" w:rsidRPr="008E45C3" w:rsidRDefault="001C2865" w:rsidP="001C2865">
      <w:pPr>
        <w:pStyle w:val="a4"/>
        <w:ind w:firstLine="620"/>
        <w:jc w:val="right"/>
        <w:rPr>
          <w:b/>
          <w:bCs/>
          <w:lang w:val="en-US"/>
        </w:rPr>
      </w:pPr>
      <w:r w:rsidRPr="008E45C3">
        <w:rPr>
          <w:bCs/>
          <w:lang w:val="en-US"/>
        </w:rPr>
        <w:t>10.03.2025</w:t>
      </w:r>
    </w:p>
    <w:p w14:paraId="0D94EF3D" w14:textId="77777777" w:rsidR="00DB13B3" w:rsidRPr="008E45C3" w:rsidRDefault="004110C1">
      <w:pPr>
        <w:pStyle w:val="a4"/>
        <w:ind w:firstLine="620"/>
        <w:jc w:val="both"/>
        <w:rPr>
          <w:lang w:val="en-US"/>
        </w:rPr>
      </w:pPr>
      <w:r w:rsidRPr="008E45C3">
        <w:rPr>
          <w:b/>
          <w:bCs/>
          <w:lang w:val="en-US"/>
        </w:rPr>
        <w:t>Storage</w:t>
      </w:r>
    </w:p>
    <w:p w14:paraId="25AAA1A5" w14:textId="77777777" w:rsidR="00DB13B3" w:rsidRPr="008E45C3" w:rsidRDefault="00064FF6">
      <w:pPr>
        <w:pStyle w:val="a4"/>
        <w:ind w:firstLine="620"/>
        <w:jc w:val="both"/>
        <w:rPr>
          <w:lang w:val="en-US"/>
        </w:rPr>
      </w:pPr>
      <w:r w:rsidRPr="008E45C3">
        <w:rPr>
          <w:lang w:val="en-US"/>
        </w:rPr>
        <w:t>Keep in a d</w:t>
      </w:r>
      <w:r w:rsidR="004110C1" w:rsidRPr="008E45C3">
        <w:rPr>
          <w:lang w:val="en-US"/>
        </w:rPr>
        <w:t xml:space="preserve">ry, dark place </w:t>
      </w:r>
      <w:r w:rsidRPr="008E45C3">
        <w:rPr>
          <w:lang w:val="en-US"/>
        </w:rPr>
        <w:t>out of the reach of</w:t>
      </w:r>
      <w:r w:rsidR="004110C1" w:rsidRPr="008E45C3">
        <w:rPr>
          <w:lang w:val="en-US"/>
        </w:rPr>
        <w:t xml:space="preserve"> </w:t>
      </w:r>
      <w:r w:rsidRPr="008E45C3">
        <w:rPr>
          <w:lang w:val="en-US"/>
        </w:rPr>
        <w:t>children at a temperature of 15-</w:t>
      </w:r>
      <w:r w:rsidR="004110C1" w:rsidRPr="008E45C3">
        <w:rPr>
          <w:lang w:val="en-US"/>
        </w:rPr>
        <w:t>25 °C.</w:t>
      </w:r>
    </w:p>
    <w:p w14:paraId="1E081068" w14:textId="77777777" w:rsidR="00DB13B3" w:rsidRPr="008E45C3" w:rsidRDefault="004110C1">
      <w:pPr>
        <w:pStyle w:val="a4"/>
        <w:ind w:firstLine="620"/>
        <w:jc w:val="both"/>
        <w:rPr>
          <w:lang w:val="en-US"/>
        </w:rPr>
      </w:pPr>
      <w:r w:rsidRPr="008E45C3">
        <w:rPr>
          <w:lang w:val="en-US"/>
        </w:rPr>
        <w:t xml:space="preserve">Shelf life </w:t>
      </w:r>
      <w:r w:rsidR="00064FF6" w:rsidRPr="008E45C3">
        <w:rPr>
          <w:lang w:val="en-US"/>
        </w:rPr>
        <w:t>is</w:t>
      </w:r>
      <w:r w:rsidRPr="008E45C3">
        <w:rPr>
          <w:lang w:val="en-US"/>
        </w:rPr>
        <w:t xml:space="preserve"> 3 years.</w:t>
      </w:r>
    </w:p>
    <w:p w14:paraId="366A3AFA" w14:textId="77777777" w:rsidR="00DB13B3" w:rsidRPr="008E45C3" w:rsidRDefault="004110C1">
      <w:pPr>
        <w:pStyle w:val="a4"/>
        <w:ind w:firstLine="620"/>
        <w:jc w:val="both"/>
        <w:rPr>
          <w:lang w:val="en-US"/>
        </w:rPr>
      </w:pPr>
      <w:r w:rsidRPr="008E45C3">
        <w:rPr>
          <w:color w:val="131313"/>
          <w:lang w:val="en-US"/>
        </w:rPr>
        <w:t xml:space="preserve">After dissolving in water, the solution </w:t>
      </w:r>
      <w:r w:rsidR="00064FF6" w:rsidRPr="008E45C3">
        <w:rPr>
          <w:color w:val="131313"/>
          <w:lang w:val="en-US"/>
        </w:rPr>
        <w:t>shall</w:t>
      </w:r>
      <w:r w:rsidRPr="008E45C3">
        <w:rPr>
          <w:color w:val="131313"/>
          <w:lang w:val="en-US"/>
        </w:rPr>
        <w:t xml:space="preserve"> </w:t>
      </w:r>
      <w:r w:rsidRPr="008E45C3">
        <w:rPr>
          <w:lang w:val="en-US"/>
        </w:rPr>
        <w:t>be used within 24 hours.</w:t>
      </w:r>
    </w:p>
    <w:p w14:paraId="24655074" w14:textId="77777777" w:rsidR="00DB13B3" w:rsidRPr="008E45C3" w:rsidRDefault="004110C1">
      <w:pPr>
        <w:pStyle w:val="a4"/>
        <w:ind w:firstLine="620"/>
        <w:jc w:val="both"/>
        <w:rPr>
          <w:lang w:val="en-US"/>
        </w:rPr>
      </w:pPr>
      <w:r w:rsidRPr="008E45C3">
        <w:rPr>
          <w:color w:val="131313"/>
          <w:lang w:val="en-US"/>
        </w:rPr>
        <w:t>The shelf life after first opening</w:t>
      </w:r>
      <w:r w:rsidR="00064FF6" w:rsidRPr="008E45C3">
        <w:rPr>
          <w:color w:val="131313"/>
          <w:lang w:val="en-US"/>
        </w:rPr>
        <w:t xml:space="preserve"> of</w:t>
      </w:r>
      <w:r w:rsidRPr="008E45C3">
        <w:rPr>
          <w:color w:val="131313"/>
          <w:lang w:val="en-US"/>
        </w:rPr>
        <w:t xml:space="preserve"> </w:t>
      </w:r>
      <w:r w:rsidRPr="008E45C3">
        <w:rPr>
          <w:lang w:val="en-US"/>
        </w:rPr>
        <w:t>the primary packaging is 3 months.</w:t>
      </w:r>
    </w:p>
    <w:p w14:paraId="5DCC3E7E" w14:textId="77777777" w:rsidR="00DB13B3" w:rsidRPr="008E45C3" w:rsidRDefault="004110C1">
      <w:pPr>
        <w:pStyle w:val="a4"/>
        <w:ind w:firstLine="620"/>
        <w:jc w:val="both"/>
        <w:rPr>
          <w:lang w:val="en-US"/>
        </w:rPr>
      </w:pPr>
      <w:r w:rsidRPr="008E45C3">
        <w:rPr>
          <w:b/>
          <w:bCs/>
          <w:color w:val="131313"/>
          <w:lang w:val="en-US"/>
        </w:rPr>
        <w:t xml:space="preserve">For veterinary </w:t>
      </w:r>
      <w:r w:rsidR="00064FF6" w:rsidRPr="008E45C3">
        <w:rPr>
          <w:b/>
          <w:bCs/>
          <w:color w:val="131313"/>
          <w:lang w:val="en-US"/>
        </w:rPr>
        <w:t xml:space="preserve">use </w:t>
      </w:r>
      <w:r w:rsidR="00C87C67" w:rsidRPr="00C87C67">
        <w:rPr>
          <w:b/>
          <w:bCs/>
          <w:color w:val="131313"/>
          <w:lang w:val="en-US"/>
        </w:rPr>
        <w:t>only</w:t>
      </w:r>
      <w:r w:rsidRPr="008E45C3">
        <w:rPr>
          <w:b/>
          <w:bCs/>
          <w:color w:val="131313"/>
          <w:lang w:val="en-US"/>
        </w:rPr>
        <w:t>!</w:t>
      </w:r>
    </w:p>
    <w:p w14:paraId="7F864521" w14:textId="77777777" w:rsidR="00DB13B3" w:rsidRPr="008E45C3" w:rsidRDefault="004110C1">
      <w:pPr>
        <w:pStyle w:val="a4"/>
        <w:ind w:firstLine="620"/>
        <w:jc w:val="both"/>
        <w:rPr>
          <w:lang w:val="en-US"/>
        </w:rPr>
      </w:pPr>
      <w:r w:rsidRPr="008E45C3">
        <w:rPr>
          <w:b/>
          <w:bCs/>
          <w:color w:val="131313"/>
          <w:lang w:val="en-US"/>
        </w:rPr>
        <w:t>Registration certificate holder:</w:t>
      </w:r>
    </w:p>
    <w:p w14:paraId="5D170FA1" w14:textId="77777777" w:rsidR="00DB13B3" w:rsidRPr="008E45C3" w:rsidRDefault="00064FF6">
      <w:pPr>
        <w:pStyle w:val="a4"/>
        <w:ind w:firstLine="620"/>
        <w:jc w:val="both"/>
        <w:rPr>
          <w:lang w:val="en-US"/>
        </w:rPr>
      </w:pPr>
      <w:r w:rsidRPr="008E45C3">
        <w:rPr>
          <w:lang w:val="en-US"/>
        </w:rPr>
        <w:t>PJSC “</w:t>
      </w:r>
      <w:r w:rsidR="004110C1" w:rsidRPr="008E45C3">
        <w:rPr>
          <w:lang w:val="en-US"/>
        </w:rPr>
        <w:t>Technolog</w:t>
      </w:r>
      <w:r w:rsidRPr="008E45C3">
        <w:rPr>
          <w:lang w:val="en-US"/>
        </w:rPr>
        <w:t>”</w:t>
      </w:r>
      <w:r w:rsidR="004110C1" w:rsidRPr="008E45C3">
        <w:rPr>
          <w:lang w:val="en-US"/>
        </w:rPr>
        <w:t xml:space="preserve"> </w:t>
      </w:r>
    </w:p>
    <w:p w14:paraId="58BF6B14" w14:textId="77777777" w:rsidR="00DB13B3" w:rsidRPr="008E45C3" w:rsidRDefault="004110C1">
      <w:pPr>
        <w:pStyle w:val="a4"/>
        <w:ind w:firstLine="620"/>
        <w:jc w:val="both"/>
        <w:rPr>
          <w:lang w:val="en-US"/>
        </w:rPr>
      </w:pPr>
      <w:r w:rsidRPr="008E45C3">
        <w:rPr>
          <w:lang w:val="en-US"/>
        </w:rPr>
        <w:t xml:space="preserve">20300, Cherkasy </w:t>
      </w:r>
      <w:r w:rsidR="00064FF6" w:rsidRPr="008E45C3">
        <w:rPr>
          <w:lang w:val="en-US"/>
        </w:rPr>
        <w:t>Region</w:t>
      </w:r>
      <w:r w:rsidRPr="008E45C3">
        <w:rPr>
          <w:lang w:val="en-US"/>
        </w:rPr>
        <w:t xml:space="preserve">, </w:t>
      </w:r>
      <w:r w:rsidR="00064FF6" w:rsidRPr="008E45C3">
        <w:rPr>
          <w:lang w:val="en-US"/>
        </w:rPr>
        <w:t>Uman City</w:t>
      </w:r>
      <w:r w:rsidRPr="008E45C3">
        <w:rPr>
          <w:lang w:val="en-US"/>
        </w:rPr>
        <w:t xml:space="preserve">, Stara Prorizna </w:t>
      </w:r>
      <w:r w:rsidR="00064FF6" w:rsidRPr="008E45C3">
        <w:rPr>
          <w:lang w:val="en-US"/>
        </w:rPr>
        <w:t>Street</w:t>
      </w:r>
      <w:r w:rsidRPr="008E45C3">
        <w:rPr>
          <w:lang w:val="en-US"/>
        </w:rPr>
        <w:t xml:space="preserve">, </w:t>
      </w:r>
      <w:r w:rsidR="00064FF6" w:rsidRPr="008E45C3">
        <w:rPr>
          <w:lang w:val="en-US"/>
        </w:rPr>
        <w:t xml:space="preserve">Building </w:t>
      </w:r>
      <w:r w:rsidRPr="008E45C3">
        <w:rPr>
          <w:lang w:val="en-US"/>
        </w:rPr>
        <w:t>8</w:t>
      </w:r>
    </w:p>
    <w:p w14:paraId="427BC511" w14:textId="77777777" w:rsidR="00DB13B3" w:rsidRPr="008E45C3" w:rsidRDefault="004110C1">
      <w:pPr>
        <w:pStyle w:val="a4"/>
        <w:ind w:firstLine="620"/>
        <w:jc w:val="both"/>
        <w:rPr>
          <w:lang w:val="en-US"/>
        </w:rPr>
      </w:pPr>
      <w:r w:rsidRPr="008E45C3">
        <w:rPr>
          <w:lang w:val="en-US"/>
        </w:rPr>
        <w:t>Ukraine</w:t>
      </w:r>
    </w:p>
    <w:p w14:paraId="2143FF1C" w14:textId="77777777" w:rsidR="00DB13B3" w:rsidRPr="008E45C3" w:rsidRDefault="004110C1">
      <w:pPr>
        <w:pStyle w:val="a4"/>
        <w:ind w:firstLine="620"/>
        <w:jc w:val="both"/>
        <w:rPr>
          <w:lang w:val="en-US"/>
        </w:rPr>
      </w:pPr>
      <w:r w:rsidRPr="008E45C3">
        <w:rPr>
          <w:b/>
          <w:bCs/>
          <w:lang w:val="en-US"/>
        </w:rPr>
        <w:t>Manufacturer of the finished product:</w:t>
      </w:r>
    </w:p>
    <w:p w14:paraId="489E9828" w14:textId="77777777" w:rsidR="00DB13B3" w:rsidRPr="008E45C3" w:rsidRDefault="00064FF6">
      <w:pPr>
        <w:pStyle w:val="a4"/>
        <w:spacing w:line="228" w:lineRule="auto"/>
        <w:ind w:firstLine="620"/>
        <w:jc w:val="both"/>
        <w:rPr>
          <w:lang w:val="en-US"/>
        </w:rPr>
      </w:pPr>
      <w:r w:rsidRPr="008E45C3">
        <w:rPr>
          <w:lang w:val="en-US"/>
        </w:rPr>
        <w:t>PJSC “Technolog”</w:t>
      </w:r>
    </w:p>
    <w:p w14:paraId="07401F36" w14:textId="77777777" w:rsidR="00064FF6" w:rsidRPr="008E45C3" w:rsidRDefault="00064FF6" w:rsidP="00064FF6">
      <w:pPr>
        <w:pStyle w:val="a4"/>
        <w:ind w:firstLine="620"/>
        <w:jc w:val="both"/>
        <w:rPr>
          <w:lang w:val="en-US"/>
        </w:rPr>
      </w:pPr>
      <w:r w:rsidRPr="008E45C3">
        <w:rPr>
          <w:lang w:val="en-US"/>
        </w:rPr>
        <w:t>20300, Cherkasy Region, Uman City, Stara Prorizna Street, Building 8</w:t>
      </w:r>
    </w:p>
    <w:p w14:paraId="41FA0494" w14:textId="77777777" w:rsidR="00064FF6" w:rsidRDefault="00064FF6" w:rsidP="00064FF6">
      <w:pPr>
        <w:pStyle w:val="a4"/>
        <w:ind w:firstLine="620"/>
        <w:jc w:val="both"/>
      </w:pPr>
      <w:r>
        <w:t>Ukraine</w:t>
      </w:r>
    </w:p>
    <w:p w14:paraId="2F8E70D1" w14:textId="77777777" w:rsidR="00DB13B3" w:rsidRDefault="00DB13B3" w:rsidP="00064FF6">
      <w:pPr>
        <w:pStyle w:val="a4"/>
        <w:ind w:firstLine="620"/>
        <w:jc w:val="both"/>
      </w:pPr>
    </w:p>
    <w:sectPr w:rsidR="00DB13B3" w:rsidSect="00E4379F">
      <w:headerReference w:type="even" r:id="rId7"/>
      <w:headerReference w:type="default" r:id="rId8"/>
      <w:footerReference w:type="even" r:id="rId9"/>
      <w:footerReference w:type="default" r:id="rId10"/>
      <w:headerReference w:type="first" r:id="rId11"/>
      <w:footerReference w:type="first" r:id="rId12"/>
      <w:pgSz w:w="11909" w:h="16840"/>
      <w:pgMar w:top="851" w:right="534" w:bottom="1527" w:left="948"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30FB4" w14:textId="77777777" w:rsidR="00A9626E" w:rsidRDefault="00A9626E">
      <w:r>
        <w:separator/>
      </w:r>
    </w:p>
  </w:endnote>
  <w:endnote w:type="continuationSeparator" w:id="0">
    <w:p w14:paraId="3D345A86" w14:textId="77777777" w:rsidR="00A9626E" w:rsidRDefault="00A96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FD1EB" w14:textId="30E15500" w:rsidR="00A553E9" w:rsidRDefault="00BE7159">
    <w:pPr>
      <w:spacing w:line="1" w:lineRule="exact"/>
    </w:pPr>
    <w:r>
      <w:rPr>
        <w:noProof/>
        <w:lang w:val="en-US" w:eastAsia="en-US" w:bidi="ar-SA"/>
      </w:rPr>
      <mc:AlternateContent>
        <mc:Choice Requires="wps">
          <w:drawing>
            <wp:anchor distT="0" distB="0" distL="0" distR="0" simplePos="0" relativeHeight="62914696" behindDoc="1" locked="0" layoutInCell="1" allowOverlap="1" wp14:anchorId="4A8D1166" wp14:editId="51687F1D">
              <wp:simplePos x="0" y="0"/>
              <wp:positionH relativeFrom="page">
                <wp:posOffset>3860800</wp:posOffset>
              </wp:positionH>
              <wp:positionV relativeFrom="page">
                <wp:posOffset>10079990</wp:posOffset>
              </wp:positionV>
              <wp:extent cx="54610" cy="94615"/>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 cy="94615"/>
                      </a:xfrm>
                      <a:prstGeom prst="rect">
                        <a:avLst/>
                      </a:prstGeom>
                      <a:noFill/>
                    </wps:spPr>
                    <wps:txbx>
                      <w:txbxContent>
                        <w:p w14:paraId="3F1E8994" w14:textId="77777777" w:rsidR="00A553E9" w:rsidRDefault="00216BD0">
                          <w:pPr>
                            <w:pStyle w:val="Headerorfooter20"/>
                          </w:pPr>
                          <w:r>
                            <w:fldChar w:fldCharType="begin"/>
                          </w:r>
                          <w:r>
                            <w:instrText xml:space="preserve"> PAGE \* MERGEFORMAT </w:instrText>
                          </w:r>
                          <w:r>
                            <w:fldChar w:fldCharType="separate"/>
                          </w:r>
                          <w:r>
                            <w:rPr>
                              <w:noProof/>
                            </w:rPr>
                            <w:t>2</w:t>
                          </w:r>
                          <w:r>
                            <w:rPr>
                              <w:noProof/>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4A8D1166" id="_x0000_t202" coordsize="21600,21600" o:spt="202" path="m,l,21600r21600,l21600,xe">
              <v:stroke joinstyle="miter"/>
              <v:path gradientshapeok="t" o:connecttype="rect"/>
            </v:shapetype>
            <v:shape id="Shape 13" o:spid="_x0000_s1026" type="#_x0000_t202" style="position:absolute;margin-left:304pt;margin-top:793.7pt;width:4.3pt;height:7.45pt;z-index:-44040178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" filled="f" stroked="f">
              <v:textbox style="mso-fit-shape-to-text:t" inset="0,0,0,0">
                <w:txbxContent>
                  <w:p w14:paraId="3F1E8994" w14:textId="77777777" w:rsidR="00A553E9" w:rsidRDefault="00216BD0">
                    <w:pPr>
                      <w:pStyle w:val="Headerorfooter20"/>
                    </w:pPr>
                    <w:r>
                      <w:fldChar w:fldCharType="begin"/>
                    </w:r>
                    <w:r>
                      <w:instrText xml:space="preserve"> PAGE \* MERGEFORMAT </w:instrText>
                    </w:r>
                    <w:r>
                      <w:fldChar w:fldCharType="separate"/>
                    </w:r>
                    <w:r>
                      <w:rPr>
                        <w:noProof/>
                      </w:rPr>
                      <w:t>2</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93C2" w14:textId="5F12BD06" w:rsidR="00A553E9" w:rsidRDefault="00BE7159">
    <w:pPr>
      <w:spacing w:line="1" w:lineRule="exact"/>
    </w:pPr>
    <w:r>
      <w:rPr>
        <w:noProof/>
        <w:lang w:val="en-US" w:eastAsia="en-US" w:bidi="ar-SA"/>
      </w:rPr>
      <mc:AlternateContent>
        <mc:Choice Requires="wps">
          <w:drawing>
            <wp:anchor distT="0" distB="0" distL="0" distR="0" simplePos="0" relativeHeight="62914692" behindDoc="1" locked="0" layoutInCell="1" allowOverlap="1" wp14:anchorId="20E1470E" wp14:editId="74B857F1">
              <wp:simplePos x="0" y="0"/>
              <wp:positionH relativeFrom="page">
                <wp:posOffset>3858895</wp:posOffset>
              </wp:positionH>
              <wp:positionV relativeFrom="page">
                <wp:posOffset>9800590</wp:posOffset>
              </wp:positionV>
              <wp:extent cx="54610" cy="94615"/>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 cy="94615"/>
                      </a:xfrm>
                      <a:prstGeom prst="rect">
                        <a:avLst/>
                      </a:prstGeom>
                      <a:noFill/>
                    </wps:spPr>
                    <wps:txbx>
                      <w:txbxContent>
                        <w:p w14:paraId="786B45FB" w14:textId="77777777" w:rsidR="00A553E9" w:rsidRDefault="00A553E9">
                          <w:pPr>
                            <w:pStyle w:val="Headerorfooter20"/>
                          </w:pPr>
                          <w:r>
                            <w:t>З</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20E1470E" id="_x0000_t202" coordsize="21600,21600" o:spt="202" path="m,l,21600r21600,l21600,xe">
              <v:stroke joinstyle="miter"/>
              <v:path gradientshapeok="t" o:connecttype="rect"/>
            </v:shapetype>
            <v:shape id="Shape 9" o:spid="_x0000_s1027" type="#_x0000_t202" style="position:absolute;margin-left:303.85pt;margin-top:771.7pt;width:4.3pt;height:7.45pt;z-index:-44040178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" filled="f" stroked="f">
              <v:textbox style="mso-fit-shape-to-text:t" inset="0,0,0,0">
                <w:txbxContent>
                  <w:p w14:paraId="786B45FB" w14:textId="77777777" w:rsidR="00A553E9" w:rsidRDefault="00A553E9">
                    <w:pPr>
                      <w:pStyle w:val="Headerorfooter20"/>
                    </w:pPr>
                    <w:r>
                      <w:t>З</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94162" w14:textId="73F66390" w:rsidR="00A553E9" w:rsidRDefault="00BE7159">
    <w:pPr>
      <w:spacing w:line="1" w:lineRule="exact"/>
    </w:pPr>
    <w:r>
      <w:rPr>
        <w:noProof/>
        <w:lang w:val="en-US" w:eastAsia="en-US" w:bidi="ar-SA"/>
      </w:rPr>
      <mc:AlternateContent>
        <mc:Choice Requires="wps">
          <w:drawing>
            <wp:anchor distT="0" distB="0" distL="0" distR="0" simplePos="0" relativeHeight="62914700" behindDoc="1" locked="0" layoutInCell="1" allowOverlap="1" wp14:anchorId="7D6FA51F" wp14:editId="56EA4217">
              <wp:simplePos x="0" y="0"/>
              <wp:positionH relativeFrom="page">
                <wp:posOffset>3862070</wp:posOffset>
              </wp:positionH>
              <wp:positionV relativeFrom="page">
                <wp:posOffset>9770745</wp:posOffset>
              </wp:positionV>
              <wp:extent cx="54610" cy="9144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 cy="91440"/>
                      </a:xfrm>
                      <a:prstGeom prst="rect">
                        <a:avLst/>
                      </a:prstGeom>
                      <a:noFill/>
                    </wps:spPr>
                    <wps:txbx>
                      <w:txbxContent>
                        <w:p w14:paraId="3872A3A9" w14:textId="77777777" w:rsidR="00A553E9" w:rsidRDefault="00216BD0">
                          <w:pPr>
                            <w:pStyle w:val="Headerorfooter20"/>
                          </w:pPr>
                          <w:r>
                            <w:fldChar w:fldCharType="begin"/>
                          </w:r>
                          <w:r>
                            <w:instrText xml:space="preserve"> PAGE \* MERGEFORMAT </w:instrText>
                          </w:r>
                          <w:r>
                            <w:fldChar w:fldCharType="separate"/>
                          </w:r>
                          <w:r>
                            <w:rPr>
                              <w:noProof/>
                            </w:rPr>
                            <w:t>1</w:t>
                          </w:r>
                          <w:r>
                            <w:rPr>
                              <w:noProof/>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7D6FA51F" id="_x0000_t202" coordsize="21600,21600" o:spt="202" path="m,l,21600r21600,l21600,xe">
              <v:stroke joinstyle="miter"/>
              <v:path gradientshapeok="t" o:connecttype="rect"/>
            </v:shapetype>
            <v:shape id="Shape 17" o:spid="_x0000_s1028" type="#_x0000_t202" style="position:absolute;margin-left:304.1pt;margin-top:769.35pt;width:4.3pt;height:7.2pt;z-index:-44040178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" filled="f" stroked="f">
              <v:textbox style="mso-fit-shape-to-text:t" inset="0,0,0,0">
                <w:txbxContent>
                  <w:p w14:paraId="3872A3A9" w14:textId="77777777" w:rsidR="00A553E9" w:rsidRDefault="00216BD0">
                    <w:pPr>
                      <w:pStyle w:val="Headerorfooter20"/>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6C2B0" w14:textId="77777777" w:rsidR="00A9626E" w:rsidRDefault="00A9626E"/>
  </w:footnote>
  <w:footnote w:type="continuationSeparator" w:id="0">
    <w:p w14:paraId="7A8D1AED" w14:textId="77777777" w:rsidR="00A9626E" w:rsidRDefault="00A962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0D87" w14:textId="77777777" w:rsidR="00A553E9" w:rsidRDefault="00A553E9">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99B7" w14:textId="77777777" w:rsidR="00A553E9" w:rsidRDefault="00A553E9">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097A" w14:textId="77777777" w:rsidR="00A553E9" w:rsidRDefault="00A553E9">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06867"/>
    <w:multiLevelType w:val="multilevel"/>
    <w:tmpl w:val="1212A4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75290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hideSpellingErrors/>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B3"/>
    <w:rsid w:val="00064FF6"/>
    <w:rsid w:val="000C023F"/>
    <w:rsid w:val="001C2865"/>
    <w:rsid w:val="00202F04"/>
    <w:rsid w:val="00216BD0"/>
    <w:rsid w:val="00323B58"/>
    <w:rsid w:val="00365DF7"/>
    <w:rsid w:val="003669CB"/>
    <w:rsid w:val="004110C1"/>
    <w:rsid w:val="004976C3"/>
    <w:rsid w:val="0057715B"/>
    <w:rsid w:val="005C4D92"/>
    <w:rsid w:val="00644281"/>
    <w:rsid w:val="0089247F"/>
    <w:rsid w:val="008E45C3"/>
    <w:rsid w:val="008F2D11"/>
    <w:rsid w:val="00944864"/>
    <w:rsid w:val="009F35B6"/>
    <w:rsid w:val="00A553E9"/>
    <w:rsid w:val="00A9626E"/>
    <w:rsid w:val="00AC2E9F"/>
    <w:rsid w:val="00B73A8D"/>
    <w:rsid w:val="00BE7159"/>
    <w:rsid w:val="00C14FAB"/>
    <w:rsid w:val="00C87C67"/>
    <w:rsid w:val="00D0127A"/>
    <w:rsid w:val="00DB13B3"/>
    <w:rsid w:val="00E4379F"/>
    <w:rsid w:val="00FD2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0EC55"/>
  <w15:docId w15:val="{FE42A9CD-1824-4464-BFEB-31F19841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u-RU"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C2E9F"/>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sid w:val="00AC2E9F"/>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3">
    <w:name w:val="Body text (3)_"/>
    <w:basedOn w:val="a0"/>
    <w:link w:val="Bodytext30"/>
    <w:rsid w:val="00AC2E9F"/>
    <w:rPr>
      <w:rFonts w:ascii="Times New Roman" w:eastAsia="Times New Roman" w:hAnsi="Times New Roman" w:cs="Times New Roman"/>
      <w:b/>
      <w:bCs/>
      <w:i w:val="0"/>
      <w:iCs w:val="0"/>
      <w:smallCaps w:val="0"/>
      <w:strike w:val="0"/>
      <w:color w:val="0C3DEC"/>
      <w:w w:val="50"/>
      <w:sz w:val="32"/>
      <w:szCs w:val="32"/>
      <w:u w:val="none"/>
      <w:shd w:val="clear" w:color="auto" w:fill="auto"/>
    </w:rPr>
  </w:style>
  <w:style w:type="character" w:customStyle="1" w:styleId="a3">
    <w:name w:val="Основной текст Знак"/>
    <w:basedOn w:val="a0"/>
    <w:link w:val="a4"/>
    <w:rsid w:val="00AC2E9F"/>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erorfooter2">
    <w:name w:val="Header or footer (2)_"/>
    <w:basedOn w:val="a0"/>
    <w:link w:val="Headerorfooter20"/>
    <w:rsid w:val="00AC2E9F"/>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a0"/>
    <w:link w:val="Heading10"/>
    <w:rsid w:val="00AC2E9F"/>
    <w:rPr>
      <w:rFonts w:ascii="Times New Roman" w:eastAsia="Times New Roman" w:hAnsi="Times New Roman" w:cs="Times New Roman"/>
      <w:b/>
      <w:bCs/>
      <w:i w:val="0"/>
      <w:iCs w:val="0"/>
      <w:smallCaps w:val="0"/>
      <w:strike w:val="0"/>
      <w:color w:val="0C3DEC"/>
      <w:w w:val="50"/>
      <w:sz w:val="32"/>
      <w:szCs w:val="32"/>
      <w:u w:val="none"/>
      <w:shd w:val="clear" w:color="auto" w:fill="auto"/>
    </w:rPr>
  </w:style>
  <w:style w:type="paragraph" w:customStyle="1" w:styleId="Bodytext20">
    <w:name w:val="Body text (2)"/>
    <w:basedOn w:val="a"/>
    <w:link w:val="Bodytext2"/>
    <w:rsid w:val="00AC2E9F"/>
    <w:pPr>
      <w:spacing w:after="120"/>
      <w:ind w:left="120"/>
    </w:pPr>
    <w:rPr>
      <w:rFonts w:ascii="Times New Roman" w:eastAsia="Times New Roman" w:hAnsi="Times New Roman" w:cs="Times New Roman"/>
      <w:sz w:val="20"/>
      <w:szCs w:val="20"/>
    </w:rPr>
  </w:style>
  <w:style w:type="paragraph" w:customStyle="1" w:styleId="Bodytext30">
    <w:name w:val="Body text (3)"/>
    <w:basedOn w:val="a"/>
    <w:link w:val="Bodytext3"/>
    <w:rsid w:val="00AC2E9F"/>
    <w:pPr>
      <w:jc w:val="right"/>
    </w:pPr>
    <w:rPr>
      <w:rFonts w:ascii="Times New Roman" w:eastAsia="Times New Roman" w:hAnsi="Times New Roman" w:cs="Times New Roman"/>
      <w:b/>
      <w:bCs/>
      <w:color w:val="0C3DEC"/>
      <w:w w:val="50"/>
      <w:sz w:val="32"/>
      <w:szCs w:val="32"/>
    </w:rPr>
  </w:style>
  <w:style w:type="paragraph" w:styleId="a4">
    <w:name w:val="Body Text"/>
    <w:basedOn w:val="a"/>
    <w:link w:val="a3"/>
    <w:qFormat/>
    <w:rsid w:val="00AC2E9F"/>
    <w:pPr>
      <w:ind w:firstLine="400"/>
    </w:pPr>
    <w:rPr>
      <w:rFonts w:ascii="Times New Roman" w:eastAsia="Times New Roman" w:hAnsi="Times New Roman" w:cs="Times New Roman"/>
    </w:rPr>
  </w:style>
  <w:style w:type="paragraph" w:customStyle="1" w:styleId="Headerorfooter20">
    <w:name w:val="Header or footer (2)"/>
    <w:basedOn w:val="a"/>
    <w:link w:val="Headerorfooter2"/>
    <w:rsid w:val="00AC2E9F"/>
    <w:rPr>
      <w:rFonts w:ascii="Times New Roman" w:eastAsia="Times New Roman" w:hAnsi="Times New Roman" w:cs="Times New Roman"/>
      <w:sz w:val="20"/>
      <w:szCs w:val="20"/>
    </w:rPr>
  </w:style>
  <w:style w:type="paragraph" w:customStyle="1" w:styleId="Heading10">
    <w:name w:val="Heading #1"/>
    <w:basedOn w:val="a"/>
    <w:link w:val="Heading1"/>
    <w:rsid w:val="00AC2E9F"/>
    <w:pPr>
      <w:spacing w:after="160"/>
      <w:jc w:val="right"/>
      <w:outlineLvl w:val="0"/>
    </w:pPr>
    <w:rPr>
      <w:rFonts w:ascii="Times New Roman" w:eastAsia="Times New Roman" w:hAnsi="Times New Roman" w:cs="Times New Roman"/>
      <w:b/>
      <w:bCs/>
      <w:color w:val="0C3DEC"/>
      <w:w w:val="50"/>
      <w:sz w:val="32"/>
      <w:szCs w:val="32"/>
    </w:rPr>
  </w:style>
  <w:style w:type="table" w:styleId="a5">
    <w:name w:val="Table Grid"/>
    <w:basedOn w:val="a1"/>
    <w:uiPriority w:val="39"/>
    <w:rsid w:val="00C14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1588</Words>
  <Characters>9052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Mavka</dc:creator>
  <cp:lastModifiedBy>Ольга Бучацька</cp:lastModifiedBy>
  <cp:revision>2</cp:revision>
  <dcterms:created xsi:type="dcterms:W3CDTF">2026-06-17T07:56:00Z</dcterms:created>
  <dcterms:modified xsi:type="dcterms:W3CDTF">2026-06-17T07:56:00Z</dcterms:modified>
</cp:coreProperties>
</file>